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keepNext w:val="true"/>
        <w:keepLines/>
        <w:spacing w:before="480" w:after="240"/>
        <w:jc w:val="center"/>
        <w:rPr/>
      </w:pPr>
      <w:r>
        <w:rPr/>
        <w:t>Planning I-CBBG 2025</w:t>
      </w:r>
    </w:p>
    <w:p>
      <w:pPr>
        <w:pStyle w:val="Date"/>
        <w:rPr/>
      </w:pPr>
      <w:r>
        <w:rPr/>
        <w:t>1/27/23</w:t>
      </w:r>
    </w:p>
    <w:p>
      <w:pPr>
        <w:pStyle w:val="Heading1"/>
        <w:rPr/>
      </w:pPr>
      <w:bookmarkStart w:id="0" w:name="this-is-a-draft"/>
      <w:r>
        <w:rPr/>
        <w:t>1. This is a draft</w:t>
      </w:r>
    </w:p>
    <w:p>
      <w:pPr>
        <w:pStyle w:val="FirstParagraph"/>
        <w:rPr/>
      </w:pPr>
      <w:r>
        <w:rPr/>
        <w:t>This is a working document for the planning of ICBBG 2025. Nothing in the document is set into stone. This will serve as a reference in our first meeting.</w:t>
      </w:r>
    </w:p>
    <w:p>
      <w:pPr>
        <w:pStyle w:val="TextBody"/>
        <w:rPr/>
      </w:pPr>
      <w:bookmarkStart w:id="1" w:name="this-is-a-draft"/>
      <w:r>
        <w:rPr/>
        <w:t>Your comments and suggestions are appreciated.</w:t>
      </w:r>
      <w:bookmarkEnd w:id="1"/>
    </w:p>
    <w:p>
      <w:pPr>
        <w:pStyle w:val="Heading1"/>
        <w:rPr/>
      </w:pPr>
      <w:bookmarkStart w:id="2" w:name="schedule"/>
      <w:r>
        <w:rPr/>
        <w:t>2. Schedule</w:t>
      </w:r>
    </w:p>
    <w:p>
      <w:pPr>
        <w:pStyle w:val="Heading2"/>
        <w:rPr/>
      </w:pPr>
      <w:r>
        <w:rPr/>
        <w:t>Day 1</w:t>
      </w:r>
    </w:p>
    <w:p>
      <w:pPr>
        <w:pStyle w:val="TextBody"/>
        <w:rPr/>
      </w:pPr>
      <w:r>
        <w:rPr/>
      </w:r>
    </w:p>
    <w:tbl>
      <w:tblPr>
        <w:tblStyle w:val="Table"/>
        <w:tblW w:w="7920" w:type="dxa"/>
        <w:jc w:val="left"/>
        <w:tblInd w:w="338" w:type="dxa"/>
        <w:tblLayout w:type="fixed"/>
        <w:tblCellMar>
          <w:top w:w="0" w:type="dxa"/>
          <w:left w:w="144" w:type="dxa"/>
          <w:bottom w:w="0" w:type="dxa"/>
          <w:right w:w="144" w:type="dxa"/>
        </w:tblCellMar>
        <w:tblLook w:val="0000" w:noHBand="0" w:noVBand="0" w:firstColumn="0" w:lastRow="0" w:lastColumn="0" w:firstRow="0"/>
      </w:tblPr>
      <w:tblGrid>
        <w:gridCol w:w="3960"/>
        <w:gridCol w:w="3960"/>
      </w:tblGrid>
      <w:tr>
        <w:trPr/>
        <w:tc>
          <w:tcPr>
            <w:tcW w:w="3960" w:type="dxa"/>
            <w:tcBorders>
              <w:left w:val="single" w:sz="24" w:space="0" w:color="0758E5"/>
            </w:tcBorders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9:00 – 17:00</w:t>
            </w:r>
          </w:p>
        </w:tc>
        <w:tc>
          <w:tcPr>
            <w:tcW w:w="3960" w:type="dxa"/>
            <w:tcBorders>
              <w:right w:val="single" w:sz="4" w:space="0" w:color="0758E5"/>
            </w:tcBorders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workshops</w:t>
            </w:r>
          </w:p>
        </w:tc>
      </w:tr>
      <w:tr>
        <w:trPr/>
        <w:tc>
          <w:tcPr>
            <w:tcW w:w="3960" w:type="dxa"/>
            <w:tcBorders>
              <w:left w:val="single" w:sz="24" w:space="0" w:color="0758E5"/>
              <w:bottom w:val="single" w:sz="4" w:space="0" w:color="0758E5"/>
            </w:tcBorders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18:00 – 20:00</w:t>
            </w:r>
          </w:p>
        </w:tc>
        <w:tc>
          <w:tcPr>
            <w:tcW w:w="3960" w:type="dxa"/>
            <w:tcBorders>
              <w:bottom w:val="single" w:sz="4" w:space="0" w:color="0758E5"/>
              <w:right w:val="single" w:sz="4" w:space="0" w:color="0758E5"/>
            </w:tcBorders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Icebreaker reception</w:t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pStyle w:val="Heading2"/>
        <w:rPr/>
      </w:pPr>
      <w:r>
        <w:rPr/>
        <w:t>2.1 Day 2</w:t>
      </w:r>
    </w:p>
    <w:p>
      <w:pPr>
        <w:pStyle w:val="Compact"/>
        <w:numPr>
          <w:ilvl w:val="0"/>
          <w:numId w:val="1"/>
        </w:numPr>
        <w:rPr/>
      </w:pPr>
      <w:r>
        <w:rPr>
          <w:b/>
          <w:bCs/>
        </w:rPr>
        <w:t>6 keynotes + 36 paper presentations</w:t>
      </w:r>
    </w:p>
    <w:tbl>
      <w:tblPr>
        <w:tblStyle w:val="Table"/>
        <w:tblW w:w="7920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1980"/>
        <w:gridCol w:w="2265"/>
        <w:gridCol w:w="1695"/>
        <w:gridCol w:w="1979"/>
      </w:tblGrid>
      <w:tr>
        <w:trPr/>
        <w:tc>
          <w:tcPr>
            <w:tcW w:w="198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8:00</w:t>
            </w:r>
          </w:p>
        </w:tc>
        <w:tc>
          <w:tcPr>
            <w:tcW w:w="226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opening &amp; registration</w:t>
            </w:r>
          </w:p>
        </w:tc>
        <w:tc>
          <w:tcPr>
            <w:tcW w:w="169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97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8:30</w:t>
            </w:r>
          </w:p>
        </w:tc>
        <w:tc>
          <w:tcPr>
            <w:tcW w:w="226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plenary session 1</w:t>
            </w:r>
          </w:p>
        </w:tc>
        <w:tc>
          <w:tcPr>
            <w:tcW w:w="169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97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226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3 x 30 minute presentation</w:t>
            </w:r>
          </w:p>
        </w:tc>
        <w:tc>
          <w:tcPr>
            <w:tcW w:w="169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97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10:00</w:t>
            </w:r>
          </w:p>
        </w:tc>
        <w:tc>
          <w:tcPr>
            <w:tcW w:w="226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coffee break</w:t>
            </w:r>
          </w:p>
        </w:tc>
        <w:tc>
          <w:tcPr>
            <w:tcW w:w="169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97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10:30</w:t>
            </w:r>
          </w:p>
        </w:tc>
        <w:tc>
          <w:tcPr>
            <w:tcW w:w="226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session 2a</w:t>
            </w:r>
          </w:p>
        </w:tc>
        <w:tc>
          <w:tcPr>
            <w:tcW w:w="169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session 2b</w:t>
            </w:r>
          </w:p>
        </w:tc>
        <w:tc>
          <w:tcPr>
            <w:tcW w:w="197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session 2c</w:t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226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6 x 15 min</w:t>
            </w:r>
          </w:p>
        </w:tc>
        <w:tc>
          <w:tcPr>
            <w:tcW w:w="169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6 x 15 min</w:t>
            </w:r>
          </w:p>
        </w:tc>
        <w:tc>
          <w:tcPr>
            <w:tcW w:w="197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6 x 15 min</w:t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12:00</w:t>
            </w:r>
          </w:p>
        </w:tc>
        <w:tc>
          <w:tcPr>
            <w:tcW w:w="226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lunchbreak + poster session</w:t>
            </w:r>
          </w:p>
        </w:tc>
        <w:tc>
          <w:tcPr>
            <w:tcW w:w="169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97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13:30</w:t>
            </w:r>
          </w:p>
        </w:tc>
        <w:tc>
          <w:tcPr>
            <w:tcW w:w="226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session 3a</w:t>
            </w:r>
          </w:p>
        </w:tc>
        <w:tc>
          <w:tcPr>
            <w:tcW w:w="169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session 3b</w:t>
            </w:r>
          </w:p>
        </w:tc>
        <w:tc>
          <w:tcPr>
            <w:tcW w:w="197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session 3c</w:t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226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6 x 15 min</w:t>
            </w:r>
          </w:p>
        </w:tc>
        <w:tc>
          <w:tcPr>
            <w:tcW w:w="169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6 x 15 min</w:t>
            </w:r>
          </w:p>
        </w:tc>
        <w:tc>
          <w:tcPr>
            <w:tcW w:w="197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6 x 15 min</w:t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15:00</w:t>
            </w:r>
          </w:p>
        </w:tc>
        <w:tc>
          <w:tcPr>
            <w:tcW w:w="226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coffee break</w:t>
            </w:r>
          </w:p>
        </w:tc>
        <w:tc>
          <w:tcPr>
            <w:tcW w:w="169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97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15:30</w:t>
            </w:r>
          </w:p>
        </w:tc>
        <w:tc>
          <w:tcPr>
            <w:tcW w:w="226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plenary session 4</w:t>
            </w:r>
          </w:p>
        </w:tc>
        <w:tc>
          <w:tcPr>
            <w:tcW w:w="169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97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226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3 x 30 minute presentation</w:t>
            </w:r>
          </w:p>
        </w:tc>
        <w:tc>
          <w:tcPr>
            <w:tcW w:w="169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97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17:00</w:t>
            </w:r>
          </w:p>
        </w:tc>
        <w:tc>
          <w:tcPr>
            <w:tcW w:w="226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end of sessions</w:t>
            </w:r>
          </w:p>
        </w:tc>
        <w:tc>
          <w:tcPr>
            <w:tcW w:w="169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97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18:00</w:t>
            </w:r>
          </w:p>
        </w:tc>
        <w:tc>
          <w:tcPr>
            <w:tcW w:w="226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conference dinner</w:t>
            </w:r>
          </w:p>
        </w:tc>
        <w:tc>
          <w:tcPr>
            <w:tcW w:w="169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97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20:00</w:t>
            </w:r>
          </w:p>
        </w:tc>
        <w:tc>
          <w:tcPr>
            <w:tcW w:w="226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end of day 1</w:t>
            </w:r>
          </w:p>
        </w:tc>
        <w:tc>
          <w:tcPr>
            <w:tcW w:w="169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97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</w:tr>
    </w:tbl>
    <w:p>
      <w:pPr>
        <w:pStyle w:val="Heading2"/>
        <w:rPr/>
      </w:pPr>
      <w:r>
        <w:rPr/>
      </w:r>
      <w:r>
        <w:br w:type="page"/>
      </w:r>
    </w:p>
    <w:p>
      <w:pPr>
        <w:pStyle w:val="Heading2"/>
        <w:rPr/>
      </w:pPr>
      <w:r>
        <w:rPr/>
        <w:t>2.2 Day 3</w:t>
      </w:r>
    </w:p>
    <w:p>
      <w:pPr>
        <w:pStyle w:val="Compact"/>
        <w:numPr>
          <w:ilvl w:val="0"/>
          <w:numId w:val="34"/>
        </w:numPr>
        <w:rPr/>
      </w:pPr>
      <w:r>
        <w:rPr>
          <w:b/>
          <w:bCs/>
        </w:rPr>
        <w:t>6 keynotes/debates + 36 paper presentations</w:t>
      </w:r>
    </w:p>
    <w:tbl>
      <w:tblPr>
        <w:tblStyle w:val="Table"/>
        <w:tblW w:w="7920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20" w:noHBand="0" w:noVBand="0" w:firstColumn="0" w:lastRow="0" w:lastColumn="0" w:firstRow="1"/>
      </w:tblPr>
      <w:tblGrid>
        <w:gridCol w:w="1980"/>
        <w:gridCol w:w="2265"/>
        <w:gridCol w:w="1695"/>
        <w:gridCol w:w="1979"/>
      </w:tblGrid>
      <w:tr>
        <w:trPr>
          <w:tblHeader w:val="true"/>
        </w:trPr>
        <w:tc>
          <w:tcPr>
            <w:tcW w:w="1980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8:00</w:t>
            </w:r>
          </w:p>
        </w:tc>
        <w:tc>
          <w:tcPr>
            <w:tcW w:w="2265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opening &amp; registration</w:t>
            </w:r>
          </w:p>
        </w:tc>
        <w:tc>
          <w:tcPr>
            <w:tcW w:w="1695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979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8:30</w:t>
            </w:r>
          </w:p>
        </w:tc>
        <w:tc>
          <w:tcPr>
            <w:tcW w:w="226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plenary session 5</w:t>
            </w:r>
          </w:p>
        </w:tc>
        <w:tc>
          <w:tcPr>
            <w:tcW w:w="169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97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226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3 x 30 min</w:t>
            </w:r>
          </w:p>
        </w:tc>
        <w:tc>
          <w:tcPr>
            <w:tcW w:w="169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97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10:00</w:t>
            </w:r>
          </w:p>
        </w:tc>
        <w:tc>
          <w:tcPr>
            <w:tcW w:w="226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coffee break</w:t>
            </w:r>
          </w:p>
        </w:tc>
        <w:tc>
          <w:tcPr>
            <w:tcW w:w="169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97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10:30</w:t>
            </w:r>
          </w:p>
        </w:tc>
        <w:tc>
          <w:tcPr>
            <w:tcW w:w="226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session 6a</w:t>
            </w:r>
          </w:p>
        </w:tc>
        <w:tc>
          <w:tcPr>
            <w:tcW w:w="169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session 6b</w:t>
            </w:r>
          </w:p>
        </w:tc>
        <w:tc>
          <w:tcPr>
            <w:tcW w:w="197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session 6c</w:t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226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6 x 15 min</w:t>
            </w:r>
          </w:p>
        </w:tc>
        <w:tc>
          <w:tcPr>
            <w:tcW w:w="169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6 x 15 min</w:t>
            </w:r>
          </w:p>
        </w:tc>
        <w:tc>
          <w:tcPr>
            <w:tcW w:w="197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6 x 15 min</w:t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12:00</w:t>
            </w:r>
          </w:p>
        </w:tc>
        <w:tc>
          <w:tcPr>
            <w:tcW w:w="226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lunchbreak + poster session</w:t>
            </w:r>
          </w:p>
        </w:tc>
        <w:tc>
          <w:tcPr>
            <w:tcW w:w="169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97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13:30</w:t>
            </w:r>
          </w:p>
        </w:tc>
        <w:tc>
          <w:tcPr>
            <w:tcW w:w="226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session 7a</w:t>
            </w:r>
          </w:p>
        </w:tc>
        <w:tc>
          <w:tcPr>
            <w:tcW w:w="169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session 7b</w:t>
            </w:r>
          </w:p>
        </w:tc>
        <w:tc>
          <w:tcPr>
            <w:tcW w:w="197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session 7c</w:t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226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6 x 15 min</w:t>
            </w:r>
          </w:p>
        </w:tc>
        <w:tc>
          <w:tcPr>
            <w:tcW w:w="169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6 x 15 min</w:t>
            </w:r>
          </w:p>
        </w:tc>
        <w:tc>
          <w:tcPr>
            <w:tcW w:w="197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6 x 15 min</w:t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15:00</w:t>
            </w:r>
          </w:p>
        </w:tc>
        <w:tc>
          <w:tcPr>
            <w:tcW w:w="226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coffee break</w:t>
            </w:r>
          </w:p>
        </w:tc>
        <w:tc>
          <w:tcPr>
            <w:tcW w:w="169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97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15:30</w:t>
            </w:r>
          </w:p>
        </w:tc>
        <w:tc>
          <w:tcPr>
            <w:tcW w:w="226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plenary session 8</w:t>
            </w:r>
          </w:p>
        </w:tc>
        <w:tc>
          <w:tcPr>
            <w:tcW w:w="169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97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226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3 x 30 min</w:t>
            </w:r>
          </w:p>
        </w:tc>
        <w:tc>
          <w:tcPr>
            <w:tcW w:w="169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97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17:00</w:t>
            </w:r>
          </w:p>
        </w:tc>
        <w:tc>
          <w:tcPr>
            <w:tcW w:w="226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end of conference</w:t>
            </w:r>
          </w:p>
        </w:tc>
        <w:tc>
          <w:tcPr>
            <w:tcW w:w="1695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97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</w:r>
          </w:p>
        </w:tc>
      </w:tr>
    </w:tbl>
    <w:p>
      <w:pPr>
        <w:pStyle w:val="Heading2"/>
        <w:rPr/>
      </w:pPr>
      <w:r>
        <w:rPr/>
        <w:t>2.3 Day 4</w:t>
      </w:r>
    </w:p>
    <w:p>
      <w:pPr>
        <w:pStyle w:val="Compact"/>
        <w:numPr>
          <w:ilvl w:val="0"/>
          <w:numId w:val="35"/>
        </w:numPr>
        <w:rPr/>
      </w:pPr>
      <w:r>
        <w:rPr>
          <w:b/>
          <w:bCs/>
        </w:rPr>
        <w:t>Field trips</w:t>
      </w:r>
    </w:p>
    <w:tbl>
      <w:tblPr>
        <w:tblStyle w:val="Table"/>
        <w:tblW w:w="5000" w:type="pct"/>
        <w:jc w:val="left"/>
        <w:tblInd w:w="338" w:type="dxa"/>
        <w:tblLayout w:type="fixed"/>
        <w:tblCellMar>
          <w:top w:w="92" w:type="dxa"/>
          <w:left w:w="144" w:type="dxa"/>
          <w:bottom w:w="92" w:type="dxa"/>
          <w:right w:w="144" w:type="dxa"/>
        </w:tblCellMar>
        <w:tblLook w:val="0000" w:noHBand="0" w:noVBand="0" w:firstColumn="0" w:lastRow="0" w:lastColumn="0" w:firstRow="0"/>
      </w:tblPr>
      <w:tblGrid>
        <w:gridCol w:w="9360"/>
      </w:tblGrid>
      <w:tr>
        <w:trPr>
          <w:cantSplit w:val="true"/>
        </w:trPr>
        <w:tc>
          <w:tcPr>
            <w:tcW w:w="9360" w:type="dxa"/>
            <w:tcBorders>
              <w:top w:val="single" w:sz="4" w:space="0" w:color="0758E5"/>
              <w:left w:val="single" w:sz="24" w:space="0" w:color="0758E5"/>
              <w:right w:val="single" w:sz="4" w:space="0" w:color="0758E5"/>
            </w:tcBorders>
            <w:shd w:color="auto" w:fill="DAE6FB" w:val="clear"/>
          </w:tcPr>
          <w:p>
            <w:pPr>
              <w:pStyle w:val="FirstParagraph"/>
              <w:widowControl/>
              <w:spacing w:before="0" w:after="0"/>
              <w:jc w:val="left"/>
              <w:textAlignment w:val="center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drawing>
                <wp:inline distT="0" distB="0" distL="0" distR="0">
                  <wp:extent cx="152400" cy="152400"/>
                  <wp:effectExtent l="0" t="0" r="0" b="0"/>
                  <wp:docPr id="1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 xml:space="preserve">  </w:t>
            </w: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Note</w:t>
            </w:r>
          </w:p>
        </w:tc>
      </w:tr>
      <w:tr>
        <w:trPr>
          <w:cantSplit w:val="true"/>
        </w:trPr>
        <w:tc>
          <w:tcPr>
            <w:tcW w:w="9360" w:type="dxa"/>
            <w:tcBorders>
              <w:left w:val="single" w:sz="24" w:space="0" w:color="0758E5"/>
              <w:bottom w:val="single" w:sz="4" w:space="0" w:color="0758E5"/>
              <w:right w:val="single" w:sz="4" w:space="0" w:color="0758E5"/>
            </w:tcBorders>
            <w:tcMar>
              <w:top w:w="108" w:type="dxa"/>
              <w:bottom w:w="108" w:type="dxa"/>
            </w:tcMar>
          </w:tcPr>
          <w:p>
            <w:pPr>
              <w:pStyle w:val="Normal"/>
              <w:widowControl/>
              <w:numPr>
                <w:ilvl w:val="0"/>
                <w:numId w:val="36"/>
              </w:numPr>
              <w:spacing w:before="0" w:after="200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Based on this original plan, there will be 12 plenary talks, 72 presentations in parallel sessions, and a number of poster presentations in 2 poster sessions.</w:t>
            </w:r>
          </w:p>
          <w:p>
            <w:pPr>
              <w:pStyle w:val="Normal"/>
              <w:widowControl/>
              <w:numPr>
                <w:ilvl w:val="0"/>
                <w:numId w:val="37"/>
              </w:numPr>
              <w:spacing w:before="0" w:after="200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We may want to reduce the number of plenary talks to make room for more parallel sessions.</w:t>
            </w:r>
          </w:p>
          <w:p>
            <w:pPr>
              <w:pStyle w:val="Normal"/>
              <w:widowControl/>
              <w:numPr>
                <w:ilvl w:val="0"/>
                <w:numId w:val="38"/>
              </w:numPr>
              <w:spacing w:before="0" w:after="200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We can have at least three tracks:</w:t>
            </w:r>
          </w:p>
          <w:p>
            <w:pPr>
              <w:pStyle w:val="Compact"/>
              <w:widowControl/>
              <w:numPr>
                <w:ilvl w:val="1"/>
                <w:numId w:val="39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Bio-mediated Geotechnics</w:t>
            </w:r>
          </w:p>
          <w:p>
            <w:pPr>
              <w:pStyle w:val="Compact"/>
              <w:widowControl/>
              <w:numPr>
                <w:ilvl w:val="1"/>
                <w:numId w:val="40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Bio-inspired Geotechnics</w:t>
            </w:r>
          </w:p>
          <w:p>
            <w:pPr>
              <w:pStyle w:val="Compact"/>
              <w:widowControl/>
              <w:numPr>
                <w:ilvl w:val="1"/>
                <w:numId w:val="41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Education, training, industrial collaboration, sustainability in Biogeotechnics</w:t>
            </w:r>
          </w:p>
          <w:p>
            <w:pPr>
              <w:pStyle w:val="Normal"/>
              <w:widowControl/>
              <w:numPr>
                <w:ilvl w:val="0"/>
                <w:numId w:val="42"/>
              </w:numPr>
              <w:spacing w:before="0" w:after="200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For each track, we can have a few sessions targeting on different applications such as:</w:t>
            </w:r>
          </w:p>
          <w:p>
            <w:pPr>
              <w:pStyle w:val="Compact"/>
              <w:widowControl/>
              <w:numPr>
                <w:ilvl w:val="1"/>
                <w:numId w:val="43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Bio-mediated</w:t>
            </w:r>
          </w:p>
          <w:p>
            <w:pPr>
              <w:pStyle w:val="Compact"/>
              <w:widowControl/>
              <w:numPr>
                <w:ilvl w:val="2"/>
                <w:numId w:val="44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Hazard mitigation</w:t>
            </w:r>
          </w:p>
          <w:p>
            <w:pPr>
              <w:pStyle w:val="Compact"/>
              <w:widowControl/>
              <w:numPr>
                <w:ilvl w:val="2"/>
                <w:numId w:val="45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Construction</w:t>
            </w:r>
          </w:p>
          <w:p>
            <w:pPr>
              <w:pStyle w:val="Compact"/>
              <w:widowControl/>
              <w:numPr>
                <w:ilvl w:val="2"/>
                <w:numId w:val="46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Environmental remediation or restoration</w:t>
            </w:r>
          </w:p>
          <w:p>
            <w:pPr>
              <w:pStyle w:val="Compact"/>
              <w:widowControl/>
              <w:numPr>
                <w:ilvl w:val="1"/>
                <w:numId w:val="47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Bio-inspired</w:t>
            </w:r>
          </w:p>
          <w:p>
            <w:pPr>
              <w:pStyle w:val="Compact"/>
              <w:widowControl/>
              <w:numPr>
                <w:ilvl w:val="2"/>
                <w:numId w:val="48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Site investigation</w:t>
            </w:r>
          </w:p>
          <w:p>
            <w:pPr>
              <w:pStyle w:val="Compact"/>
              <w:widowControl/>
              <w:numPr>
                <w:ilvl w:val="2"/>
                <w:numId w:val="49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Foundation</w:t>
            </w:r>
          </w:p>
          <w:p>
            <w:pPr>
              <w:pStyle w:val="Compact"/>
              <w:widowControl/>
              <w:numPr>
                <w:ilvl w:val="2"/>
                <w:numId w:val="50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Cross-cutting</w:t>
            </w:r>
          </w:p>
          <w:p>
            <w:pPr>
              <w:pStyle w:val="Compact"/>
              <w:widowControl/>
              <w:numPr>
                <w:ilvl w:val="1"/>
                <w:numId w:val="51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ETCS (successes and pitfalls)</w:t>
            </w:r>
          </w:p>
          <w:p>
            <w:pPr>
              <w:pStyle w:val="Compact"/>
              <w:widowControl/>
              <w:numPr>
                <w:ilvl w:val="2"/>
                <w:numId w:val="52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Education</w:t>
            </w:r>
          </w:p>
          <w:p>
            <w:pPr>
              <w:pStyle w:val="Compact"/>
              <w:widowControl/>
              <w:numPr>
                <w:ilvl w:val="2"/>
                <w:numId w:val="53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Training</w:t>
            </w:r>
          </w:p>
          <w:p>
            <w:pPr>
              <w:pStyle w:val="Compact"/>
              <w:widowControl/>
              <w:numPr>
                <w:ilvl w:val="2"/>
                <w:numId w:val="54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Industrial collaborations</w:t>
            </w:r>
          </w:p>
          <w:p>
            <w:pPr>
              <w:pStyle w:val="Compact"/>
              <w:widowControl/>
              <w:numPr>
                <w:ilvl w:val="2"/>
                <w:numId w:val="55"/>
              </w:numPr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bookmarkStart w:id="3" w:name="schedule"/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Sustainability</w:t>
            </w:r>
            <w:bookmarkEnd w:id="3"/>
          </w:p>
        </w:tc>
      </w:tr>
    </w:tbl>
    <w:p>
      <w:pPr>
        <w:pStyle w:val="Heading1"/>
        <w:rPr/>
      </w:pPr>
      <w:r>
        <w:rPr/>
        <w:t>3. Important Dates</w:t>
      </w:r>
    </w:p>
    <w:tbl>
      <w:tblPr>
        <w:tblStyle w:val="Table"/>
        <w:tblW w:w="7920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20" w:noHBand="0" w:noVBand="0" w:firstColumn="0" w:lastRow="0" w:lastColumn="0" w:firstRow="1"/>
      </w:tblPr>
      <w:tblGrid>
        <w:gridCol w:w="3960"/>
        <w:gridCol w:w="3959"/>
      </w:tblGrid>
      <w:tr>
        <w:trPr>
          <w:tblHeader w:val="true"/>
        </w:trPr>
        <w:tc>
          <w:tcPr>
            <w:tcW w:w="3960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Event</w:t>
            </w:r>
          </w:p>
        </w:tc>
        <w:tc>
          <w:tcPr>
            <w:tcW w:w="3959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righ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Date</w:t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Session Proposals Due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pacing w:before="36" w:after="36"/>
              <w:jc w:val="righ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April 2023</w:t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Abstract Submissions Begin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pacing w:before="36" w:after="36"/>
              <w:jc w:val="righ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June 2023</w:t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Abstracts Due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pacing w:before="36" w:after="36"/>
              <w:jc w:val="righ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October 2023</w:t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Full Paper Invitations Begin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pacing w:before="36" w:after="36"/>
              <w:jc w:val="righ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December 2023</w:t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Draft Full Papers due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pacing w:before="36" w:after="36"/>
              <w:jc w:val="righ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May 2024</w:t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Final Full papers due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pacing w:before="36" w:after="36"/>
              <w:jc w:val="righ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December 2024</w:t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I-CBBG 2025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pacing w:before="36" w:after="36"/>
              <w:jc w:val="righ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May 18-21, 2025</w:t>
            </w:r>
          </w:p>
        </w:tc>
      </w:tr>
    </w:tbl>
    <w:p>
      <w:pPr>
        <w:pStyle w:val="Heading1"/>
        <w:rPr/>
      </w:pPr>
      <w:r>
        <w:rPr/>
        <w:t>4. Committees</w:t>
      </w:r>
    </w:p>
    <w:p>
      <w:pPr>
        <w:pStyle w:val="Compact"/>
        <w:numPr>
          <w:ilvl w:val="0"/>
          <w:numId w:val="56"/>
        </w:numPr>
        <w:rPr/>
      </w:pPr>
      <w:r>
        <w:rPr/>
        <w:t>Leon van Paassen</w:t>
      </w:r>
    </w:p>
    <w:p>
      <w:pPr>
        <w:pStyle w:val="Compact"/>
        <w:numPr>
          <w:ilvl w:val="0"/>
          <w:numId w:val="57"/>
        </w:numPr>
        <w:rPr/>
      </w:pPr>
      <w:r>
        <w:rPr/>
        <w:t>Julian Tao</w:t>
      </w:r>
    </w:p>
    <w:p>
      <w:pPr>
        <w:pStyle w:val="Compact"/>
        <w:numPr>
          <w:ilvl w:val="0"/>
          <w:numId w:val="58"/>
        </w:numPr>
        <w:rPr/>
      </w:pPr>
      <w:r>
        <w:rPr/>
        <w:t>Ed Kavazanjian</w:t>
      </w:r>
    </w:p>
    <w:p>
      <w:pPr>
        <w:pStyle w:val="Compact"/>
        <w:numPr>
          <w:ilvl w:val="0"/>
          <w:numId w:val="59"/>
        </w:numPr>
        <w:rPr/>
      </w:pPr>
      <w:r>
        <w:rPr/>
        <w:t>Hamed Khodadadi Tirkolaei</w:t>
      </w:r>
    </w:p>
    <w:p>
      <w:pPr>
        <w:pStyle w:val="Compact"/>
        <w:numPr>
          <w:ilvl w:val="0"/>
          <w:numId w:val="60"/>
        </w:numPr>
        <w:rPr/>
      </w:pPr>
      <w:r>
        <w:rPr/>
        <w:t>Claudia Zapata</w:t>
      </w:r>
    </w:p>
    <w:p>
      <w:pPr>
        <w:pStyle w:val="Compact"/>
        <w:numPr>
          <w:ilvl w:val="0"/>
          <w:numId w:val="61"/>
        </w:numPr>
        <w:rPr/>
      </w:pPr>
      <w:r>
        <w:rPr/>
        <w:t>Paola Bandini</w:t>
      </w:r>
    </w:p>
    <w:p>
      <w:pPr>
        <w:pStyle w:val="Compact"/>
        <w:numPr>
          <w:ilvl w:val="0"/>
          <w:numId w:val="62"/>
        </w:numPr>
        <w:rPr/>
      </w:pPr>
      <w:r>
        <w:rPr/>
        <w:t>Jason DeJong</w:t>
      </w:r>
    </w:p>
    <w:p>
      <w:pPr>
        <w:pStyle w:val="Compact"/>
        <w:numPr>
          <w:ilvl w:val="0"/>
          <w:numId w:val="63"/>
        </w:numPr>
        <w:rPr/>
      </w:pPr>
      <w:r>
        <w:rPr/>
        <w:t>David Frost</w:t>
      </w:r>
    </w:p>
    <w:p>
      <w:pPr>
        <w:pStyle w:val="Compact"/>
        <w:numPr>
          <w:ilvl w:val="0"/>
          <w:numId w:val="64"/>
        </w:numPr>
        <w:rPr/>
      </w:pPr>
      <w:r>
        <w:rPr/>
        <w:t>All other Senior investigators at CBBG</w:t>
      </w:r>
    </w:p>
    <w:p>
      <w:pPr>
        <w:pStyle w:val="Compact"/>
        <w:numPr>
          <w:ilvl w:val="0"/>
          <w:numId w:val="65"/>
        </w:numPr>
        <w:rPr/>
      </w:pPr>
      <w:r>
        <w:rPr/>
        <w:t>CBBG IDEA team</w:t>
      </w:r>
    </w:p>
    <w:p>
      <w:pPr>
        <w:pStyle w:val="Heading2"/>
        <w:rPr/>
      </w:pPr>
      <w:bookmarkStart w:id="4" w:name="scientific-advisory-board"/>
      <w:r>
        <w:rPr/>
        <w:t>4.1 Scientific advisory board</w:t>
      </w:r>
    </w:p>
    <w:p>
      <w:pPr>
        <w:pStyle w:val="Compact"/>
        <w:numPr>
          <w:ilvl w:val="0"/>
          <w:numId w:val="66"/>
        </w:numPr>
        <w:rPr/>
      </w:pPr>
      <w:r>
        <w:rPr/>
        <w:t>To be announced</w:t>
      </w:r>
    </w:p>
    <w:tbl>
      <w:tblPr>
        <w:tblStyle w:val="Table"/>
        <w:tblW w:w="5000" w:type="pct"/>
        <w:jc w:val="left"/>
        <w:tblInd w:w="338" w:type="dxa"/>
        <w:tblLayout w:type="fixed"/>
        <w:tblCellMar>
          <w:top w:w="92" w:type="dxa"/>
          <w:left w:w="144" w:type="dxa"/>
          <w:bottom w:w="92" w:type="dxa"/>
          <w:right w:w="144" w:type="dxa"/>
        </w:tblCellMar>
        <w:tblLook w:val="0000" w:noHBand="0" w:noVBand="0" w:firstColumn="0" w:lastRow="0" w:lastColumn="0" w:firstRow="0"/>
      </w:tblPr>
      <w:tblGrid>
        <w:gridCol w:w="9360"/>
      </w:tblGrid>
      <w:tr>
        <w:trPr>
          <w:cantSplit w:val="true"/>
        </w:trPr>
        <w:tc>
          <w:tcPr>
            <w:tcW w:w="9360" w:type="dxa"/>
            <w:tcBorders>
              <w:top w:val="single" w:sz="4" w:space="0" w:color="0758E5"/>
              <w:left w:val="single" w:sz="24" w:space="0" w:color="0758E5"/>
              <w:right w:val="single" w:sz="4" w:space="0" w:color="0758E5"/>
            </w:tcBorders>
            <w:shd w:color="auto" w:fill="DAE6FB" w:val="clear"/>
          </w:tcPr>
          <w:p>
            <w:pPr>
              <w:pStyle w:val="FirstParagraph"/>
              <w:widowControl/>
              <w:spacing w:before="0" w:after="0"/>
              <w:jc w:val="left"/>
              <w:textAlignment w:val="center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drawing>
                <wp:inline distT="0" distB="0" distL="0" distR="0">
                  <wp:extent cx="152400" cy="152400"/>
                  <wp:effectExtent l="0" t="0" r="0" b="0"/>
                  <wp:docPr id="2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 xml:space="preserve">  </w:t>
            </w: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Note</w:t>
            </w:r>
          </w:p>
        </w:tc>
      </w:tr>
      <w:tr>
        <w:trPr>
          <w:cantSplit w:val="true"/>
        </w:trPr>
        <w:tc>
          <w:tcPr>
            <w:tcW w:w="9360" w:type="dxa"/>
            <w:tcBorders>
              <w:left w:val="single" w:sz="24" w:space="0" w:color="0758E5"/>
              <w:bottom w:val="single" w:sz="4" w:space="0" w:color="0758E5"/>
              <w:right w:val="single" w:sz="4" w:space="0" w:color="0758E5"/>
            </w:tcBorders>
            <w:tcMar>
              <w:top w:w="108" w:type="dxa"/>
              <w:bottom w:w="108" w:type="dxa"/>
            </w:tcMar>
          </w:tcPr>
          <w:p>
            <w:pPr>
              <w:pStyle w:val="TextBody"/>
              <w:widowControl/>
              <w:spacing w:before="16" w:after="180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After discussing with Ed, may be a better arrangement is:</w:t>
            </w:r>
          </w:p>
          <w:p>
            <w:pPr>
              <w:pStyle w:val="Compact"/>
              <w:widowControl/>
              <w:numPr>
                <w:ilvl w:val="0"/>
                <w:numId w:val="67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Co-chairs</w:t>
            </w:r>
          </w:p>
          <w:p>
            <w:pPr>
              <w:pStyle w:val="Compact"/>
              <w:widowControl/>
              <w:numPr>
                <w:ilvl w:val="1"/>
                <w:numId w:val="68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Edward Kavazanjian</w:t>
            </w:r>
          </w:p>
          <w:p>
            <w:pPr>
              <w:pStyle w:val="Compact"/>
              <w:widowControl/>
              <w:numPr>
                <w:ilvl w:val="1"/>
                <w:numId w:val="69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Susan Burns</w:t>
            </w:r>
          </w:p>
          <w:p>
            <w:pPr>
              <w:pStyle w:val="Compact"/>
              <w:widowControl/>
              <w:numPr>
                <w:ilvl w:val="0"/>
                <w:numId w:val="70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Core organising committee (from partner campuses)</w:t>
            </w:r>
          </w:p>
          <w:p>
            <w:pPr>
              <w:pStyle w:val="Compact"/>
              <w:widowControl/>
              <w:numPr>
                <w:ilvl w:val="1"/>
                <w:numId w:val="71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Julian Tao</w:t>
            </w:r>
          </w:p>
          <w:p>
            <w:pPr>
              <w:pStyle w:val="Compact"/>
              <w:widowControl/>
              <w:numPr>
                <w:ilvl w:val="1"/>
                <w:numId w:val="72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Alejandro Martinez</w:t>
            </w:r>
          </w:p>
          <w:p>
            <w:pPr>
              <w:pStyle w:val="Compact"/>
              <w:widowControl/>
              <w:numPr>
                <w:ilvl w:val="1"/>
                <w:numId w:val="73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Douglas Cortes</w:t>
            </w:r>
          </w:p>
          <w:p>
            <w:pPr>
              <w:pStyle w:val="Compact"/>
              <w:widowControl/>
              <w:numPr>
                <w:ilvl w:val="1"/>
                <w:numId w:val="74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Sheng Dai</w:t>
            </w:r>
          </w:p>
          <w:p>
            <w:pPr>
              <w:pStyle w:val="Compact"/>
              <w:widowControl/>
              <w:numPr>
                <w:ilvl w:val="0"/>
                <w:numId w:val="75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Other organising committee members</w:t>
            </w:r>
          </w:p>
          <w:p>
            <w:pPr>
              <w:pStyle w:val="Compact"/>
              <w:widowControl/>
              <w:numPr>
                <w:ilvl w:val="1"/>
                <w:numId w:val="76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junior investigators of the partner universities</w:t>
            </w:r>
          </w:p>
          <w:p>
            <w:pPr>
              <w:pStyle w:val="Compact"/>
              <w:widowControl/>
              <w:numPr>
                <w:ilvl w:val="1"/>
                <w:numId w:val="77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experts outside of CBBG: e.g., Brina, Mike, Nariman</w:t>
            </w:r>
          </w:p>
          <w:p>
            <w:pPr>
              <w:pStyle w:val="Compact"/>
              <w:widowControl/>
              <w:numPr>
                <w:ilvl w:val="0"/>
                <w:numId w:val="78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Scientific Advisory boards</w:t>
            </w:r>
          </w:p>
          <w:p>
            <w:pPr>
              <w:pStyle w:val="Compact"/>
              <w:widowControl/>
              <w:numPr>
                <w:ilvl w:val="1"/>
                <w:numId w:val="79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CBBG leadership team</w:t>
            </w:r>
          </w:p>
          <w:p>
            <w:pPr>
              <w:pStyle w:val="Compact"/>
              <w:widowControl/>
              <w:numPr>
                <w:ilvl w:val="1"/>
                <w:numId w:val="80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Select members in the SAB and IAB of CBBG</w:t>
            </w:r>
          </w:p>
          <w:p>
            <w:pPr>
              <w:pStyle w:val="Compact"/>
              <w:widowControl/>
              <w:numPr>
                <w:ilvl w:val="1"/>
                <w:numId w:val="81"/>
              </w:numPr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bookmarkStart w:id="5" w:name="scientific-advisory-board"/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International experts</w:t>
            </w:r>
            <w:bookmarkEnd w:id="5"/>
          </w:p>
        </w:tc>
      </w:tr>
    </w:tbl>
    <w:p>
      <w:pPr>
        <w:pStyle w:val="Heading1"/>
        <w:rPr/>
      </w:pPr>
      <w:r>
        <w:rPr/>
        <w:t>5. Announcements</w:t>
      </w:r>
    </w:p>
    <w:p>
      <w:pPr>
        <w:pStyle w:val="FirstParagraph"/>
        <w:rPr/>
      </w:pPr>
      <w:r>
        <w:rPr/>
        <w:drawing>
          <wp:inline distT="0" distB="0" distL="0" distR="0">
            <wp:extent cx="5334000" cy="6904990"/>
            <wp:effectExtent l="0" t="0" r="0" b="0"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0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bookmarkStart w:id="6" w:name="call-for-sessions"/>
      <w:r>
        <w:rPr/>
        <w:t>5.1 Call for Sessions</w:t>
      </w:r>
    </w:p>
    <w:tbl>
      <w:tblPr>
        <w:tblStyle w:val="Table"/>
        <w:tblW w:w="5000" w:type="pct"/>
        <w:jc w:val="left"/>
        <w:tblInd w:w="338" w:type="dxa"/>
        <w:tblLayout w:type="fixed"/>
        <w:tblCellMar>
          <w:top w:w="92" w:type="dxa"/>
          <w:left w:w="144" w:type="dxa"/>
          <w:bottom w:w="92" w:type="dxa"/>
          <w:right w:w="144" w:type="dxa"/>
        </w:tblCellMar>
        <w:tblLook w:val="0000" w:noHBand="0" w:noVBand="0" w:firstColumn="0" w:lastRow="0" w:lastColumn="0" w:firstRow="0"/>
      </w:tblPr>
      <w:tblGrid>
        <w:gridCol w:w="9360"/>
      </w:tblGrid>
      <w:tr>
        <w:trPr>
          <w:cantSplit w:val="true"/>
        </w:trPr>
        <w:tc>
          <w:tcPr>
            <w:tcW w:w="9360" w:type="dxa"/>
            <w:tcBorders>
              <w:top w:val="single" w:sz="4" w:space="0" w:color="0758E5"/>
              <w:left w:val="single" w:sz="24" w:space="0" w:color="0758E5"/>
              <w:right w:val="single" w:sz="4" w:space="0" w:color="0758E5"/>
            </w:tcBorders>
            <w:shd w:color="auto" w:fill="DAE6FB" w:val="clear"/>
          </w:tcPr>
          <w:p>
            <w:pPr>
              <w:pStyle w:val="FirstParagraph"/>
              <w:widowControl/>
              <w:spacing w:before="0" w:after="0"/>
              <w:jc w:val="left"/>
              <w:textAlignment w:val="center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drawing>
                <wp:inline distT="0" distB="0" distL="0" distR="0">
                  <wp:extent cx="152400" cy="152400"/>
                  <wp:effectExtent l="0" t="0" r="0" b="0"/>
                  <wp:docPr id="4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 xml:space="preserve">  </w:t>
            </w: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Note</w:t>
            </w:r>
          </w:p>
        </w:tc>
      </w:tr>
      <w:tr>
        <w:trPr>
          <w:cantSplit w:val="true"/>
        </w:trPr>
        <w:tc>
          <w:tcPr>
            <w:tcW w:w="9360" w:type="dxa"/>
            <w:tcBorders>
              <w:left w:val="single" w:sz="24" w:space="0" w:color="0758E5"/>
              <w:bottom w:val="single" w:sz="4" w:space="0" w:color="0758E5"/>
              <w:right w:val="single" w:sz="4" w:space="0" w:color="0758E5"/>
            </w:tcBorders>
            <w:tcMar>
              <w:top w:w="108" w:type="dxa"/>
              <w:bottom w:w="108" w:type="dxa"/>
            </w:tcMar>
          </w:tcPr>
          <w:p>
            <w:pPr>
              <w:pStyle w:val="TextBody"/>
              <w:widowControl/>
              <w:spacing w:before="16" w:after="1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Do we really need a call for sessions?</w:t>
            </w:r>
          </w:p>
        </w:tc>
      </w:tr>
    </w:tbl>
    <w:p>
      <w:pPr>
        <w:pStyle w:val="Compact"/>
        <w:numPr>
          <w:ilvl w:val="0"/>
          <w:numId w:val="82"/>
        </w:numPr>
        <w:rPr/>
      </w:pPr>
      <w:bookmarkStart w:id="7" w:name="call-for-sessions"/>
      <w:r>
        <w:rPr/>
        <w:t>TBD</w:t>
      </w:r>
      <w:bookmarkEnd w:id="7"/>
    </w:p>
    <w:p>
      <w:pPr>
        <w:pStyle w:val="Heading2"/>
        <w:rPr/>
      </w:pPr>
      <w:bookmarkStart w:id="8" w:name="call-for-abstracts"/>
      <w:r>
        <w:rPr/>
        <w:t>5.2 Call for Abstracts</w:t>
      </w:r>
    </w:p>
    <w:p>
      <w:pPr>
        <w:pStyle w:val="Compact"/>
        <w:numPr>
          <w:ilvl w:val="0"/>
          <w:numId w:val="83"/>
        </w:numPr>
        <w:rPr/>
      </w:pPr>
      <w:bookmarkStart w:id="9" w:name="call-for-abstracts"/>
      <w:r>
        <w:rPr/>
        <w:t>TBD</w:t>
      </w:r>
      <w:bookmarkEnd w:id="9"/>
    </w:p>
    <w:p>
      <w:pPr>
        <w:pStyle w:val="Heading2"/>
        <w:rPr/>
      </w:pPr>
      <w:bookmarkStart w:id="10" w:name="call-for-papers"/>
      <w:r>
        <w:rPr/>
        <w:t>5.3 Call for Papers</w:t>
      </w:r>
      <w:bookmarkEnd w:id="10"/>
    </w:p>
    <w:p>
      <w:pPr>
        <w:pStyle w:val="Heading1"/>
        <w:rPr/>
      </w:pPr>
      <w:bookmarkStart w:id="11" w:name="speakers"/>
      <w:r>
        <w:rPr/>
        <w:t>6. Speakers</w:t>
      </w:r>
    </w:p>
    <w:tbl>
      <w:tblPr>
        <w:tblStyle w:val="Table"/>
        <w:tblW w:w="5000" w:type="pct"/>
        <w:jc w:val="left"/>
        <w:tblInd w:w="338" w:type="dxa"/>
        <w:tblLayout w:type="fixed"/>
        <w:tblCellMar>
          <w:top w:w="92" w:type="dxa"/>
          <w:left w:w="144" w:type="dxa"/>
          <w:bottom w:w="92" w:type="dxa"/>
          <w:right w:w="144" w:type="dxa"/>
        </w:tblCellMar>
        <w:tblLook w:val="0000" w:noHBand="0" w:noVBand="0" w:firstColumn="0" w:lastRow="0" w:lastColumn="0" w:firstRow="0"/>
      </w:tblPr>
      <w:tblGrid>
        <w:gridCol w:w="9360"/>
      </w:tblGrid>
      <w:tr>
        <w:trPr>
          <w:cantSplit w:val="true"/>
        </w:trPr>
        <w:tc>
          <w:tcPr>
            <w:tcW w:w="9360" w:type="dxa"/>
            <w:tcBorders>
              <w:top w:val="single" w:sz="4" w:space="0" w:color="0758E5"/>
              <w:left w:val="single" w:sz="24" w:space="0" w:color="0758E5"/>
              <w:right w:val="single" w:sz="4" w:space="0" w:color="0758E5"/>
            </w:tcBorders>
            <w:shd w:color="auto" w:fill="DAE6FB" w:val="clear"/>
          </w:tcPr>
          <w:p>
            <w:pPr>
              <w:pStyle w:val="FirstParagraph"/>
              <w:widowControl/>
              <w:spacing w:before="0" w:after="0"/>
              <w:jc w:val="left"/>
              <w:textAlignment w:val="center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drawing>
                <wp:inline distT="0" distB="0" distL="0" distR="0">
                  <wp:extent cx="152400" cy="152400"/>
                  <wp:effectExtent l="0" t="0" r="0" b="0"/>
                  <wp:docPr id="5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 xml:space="preserve">  </w:t>
            </w: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Note</w:t>
            </w:r>
          </w:p>
        </w:tc>
      </w:tr>
      <w:tr>
        <w:trPr>
          <w:cantSplit w:val="true"/>
        </w:trPr>
        <w:tc>
          <w:tcPr>
            <w:tcW w:w="9360" w:type="dxa"/>
            <w:tcBorders>
              <w:left w:val="single" w:sz="24" w:space="0" w:color="0758E5"/>
              <w:bottom w:val="single" w:sz="4" w:space="0" w:color="0758E5"/>
              <w:right w:val="single" w:sz="4" w:space="0" w:color="0758E5"/>
            </w:tcBorders>
            <w:tcMar>
              <w:top w:w="108" w:type="dxa"/>
              <w:bottom w:w="108" w:type="dxa"/>
            </w:tcMar>
          </w:tcPr>
          <w:p>
            <w:pPr>
              <w:pStyle w:val="TextBody"/>
              <w:widowControl/>
              <w:spacing w:before="16" w:after="1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bookmarkStart w:id="12" w:name="speakers"/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To be announced</w:t>
            </w:r>
            <w:bookmarkEnd w:id="12"/>
          </w:p>
        </w:tc>
      </w:tr>
    </w:tbl>
    <w:p>
      <w:pPr>
        <w:pStyle w:val="Heading1"/>
        <w:rPr/>
      </w:pPr>
      <w:r>
        <w:rPr/>
        <w:t>7. Venue</w:t>
      </w:r>
    </w:p>
    <w:p>
      <w:pPr>
        <w:pStyle w:val="FirstParagraph"/>
        <w:rPr/>
      </w:pPr>
      <w:hyperlink r:id="rId7">
        <w:r>
          <w:rPr>
            <w:rStyle w:val="InternetLink"/>
            <w:b/>
            <w:bCs/>
          </w:rPr>
          <w:t>Memorial Union</w:t>
        </w:r>
      </w:hyperlink>
      <w:r>
        <w:rPr/>
        <w:t xml:space="preserve"> at ASU campus</w:t>
      </w:r>
    </w:p>
    <w:p>
      <w:pPr>
        <w:pStyle w:val="TextBody"/>
        <w:rPr/>
      </w:pPr>
      <w:r>
        <w:rPr/>
        <w:drawing>
          <wp:inline distT="0" distB="0" distL="0" distR="0">
            <wp:extent cx="5334000" cy="1483995"/>
            <wp:effectExtent l="0" t="0" r="0" b="0"/>
            <wp:docPr id="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rPr/>
      </w:pPr>
      <w:hyperlink r:id="rId9">
        <w:r>
          <w:rPr>
            <w:rStyle w:val="InternetLink"/>
          </w:rPr>
          <w:t>MU Map</w:t>
        </w:r>
      </w:hyperlink>
    </w:p>
    <w:p>
      <w:pPr>
        <w:pStyle w:val="Heading2"/>
        <w:rPr/>
      </w:pPr>
      <w:bookmarkStart w:id="13" w:name="lodging"/>
      <w:r>
        <w:rPr/>
        <w:t>7.1 Lodging</w:t>
      </w:r>
    </w:p>
    <w:p>
      <w:pPr>
        <w:pStyle w:val="FirstParagraph"/>
        <w:rPr/>
      </w:pPr>
      <w:hyperlink r:id="rId10">
        <w:r>
          <w:rPr>
            <w:rStyle w:val="InternetLink"/>
            <w:b/>
            <w:bCs/>
          </w:rPr>
          <w:t>The Westin Tempe</w:t>
        </w:r>
      </w:hyperlink>
    </w:p>
    <w:p>
      <w:pPr>
        <w:pStyle w:val="TextBody"/>
        <w:rPr/>
      </w:pPr>
      <w:r>
        <w:rPr/>
        <w:drawing>
          <wp:inline distT="0" distB="0" distL="0" distR="0">
            <wp:extent cx="5334000" cy="2133600"/>
            <wp:effectExtent l="0" t="0" r="0" b="0"/>
            <wp:docPr id="7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"/>
        <w:tblW w:w="5000" w:type="pct"/>
        <w:jc w:val="left"/>
        <w:tblInd w:w="338" w:type="dxa"/>
        <w:tblLayout w:type="fixed"/>
        <w:tblCellMar>
          <w:top w:w="92" w:type="dxa"/>
          <w:left w:w="144" w:type="dxa"/>
          <w:bottom w:w="92" w:type="dxa"/>
          <w:right w:w="144" w:type="dxa"/>
        </w:tblCellMar>
        <w:tblLook w:val="0000" w:noHBand="0" w:noVBand="0" w:firstColumn="0" w:lastRow="0" w:lastColumn="0" w:firstRow="0"/>
      </w:tblPr>
      <w:tblGrid>
        <w:gridCol w:w="9360"/>
      </w:tblGrid>
      <w:tr>
        <w:trPr>
          <w:cantSplit w:val="true"/>
        </w:trPr>
        <w:tc>
          <w:tcPr>
            <w:tcW w:w="9360" w:type="dxa"/>
            <w:tcBorders>
              <w:top w:val="single" w:sz="4" w:space="0" w:color="0758E5"/>
              <w:left w:val="single" w:sz="24" w:space="0" w:color="0758E5"/>
              <w:right w:val="single" w:sz="4" w:space="0" w:color="0758E5"/>
            </w:tcBorders>
            <w:shd w:color="auto" w:fill="DAE6FB" w:val="clear"/>
          </w:tcPr>
          <w:p>
            <w:pPr>
              <w:pStyle w:val="TextBody"/>
              <w:widowControl/>
              <w:spacing w:before="0" w:after="0"/>
              <w:jc w:val="left"/>
              <w:textAlignment w:val="center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drawing>
                <wp:inline distT="0" distB="0" distL="0" distR="0">
                  <wp:extent cx="152400" cy="152400"/>
                  <wp:effectExtent l="0" t="0" r="0" b="0"/>
                  <wp:docPr id="8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 xml:space="preserve">  </w:t>
            </w: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Note</w:t>
            </w:r>
          </w:p>
        </w:tc>
      </w:tr>
      <w:tr>
        <w:trPr>
          <w:cantSplit w:val="true"/>
        </w:trPr>
        <w:tc>
          <w:tcPr>
            <w:tcW w:w="9360" w:type="dxa"/>
            <w:tcBorders>
              <w:left w:val="single" w:sz="24" w:space="0" w:color="0758E5"/>
              <w:bottom w:val="single" w:sz="4" w:space="0" w:color="0758E5"/>
              <w:right w:val="single" w:sz="4" w:space="0" w:color="0758E5"/>
            </w:tcBorders>
            <w:tcMar>
              <w:top w:w="108" w:type="dxa"/>
              <w:bottom w:w="108" w:type="dxa"/>
            </w:tcMar>
          </w:tcPr>
          <w:p>
            <w:pPr>
              <w:pStyle w:val="Compact"/>
              <w:widowControl/>
              <w:numPr>
                <w:ilvl w:val="0"/>
                <w:numId w:val="84"/>
              </w:numPr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Originally planned for:</w:t>
            </w:r>
          </w:p>
          <w:p>
            <w:pPr>
              <w:pStyle w:val="Compact"/>
              <w:widowControl/>
              <w:numPr>
                <w:ilvl w:val="1"/>
                <w:numId w:val="85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150 -400 attendees</w:t>
            </w:r>
          </w:p>
          <w:p>
            <w:pPr>
              <w:pStyle w:val="Compact"/>
              <w:widowControl/>
              <w:numPr>
                <w:ilvl w:val="1"/>
                <w:numId w:val="86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Up to 200 in-person; up to 200 online</w:t>
            </w:r>
          </w:p>
          <w:p>
            <w:pPr>
              <w:pStyle w:val="Compact"/>
              <w:widowControl/>
              <w:numPr>
                <w:ilvl w:val="0"/>
                <w:numId w:val="87"/>
              </w:numPr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bookmarkStart w:id="14" w:name="lodging"/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We may need to select an off-campus venue, such as the new Omni hotel</w:t>
            </w:r>
            <w:bookmarkEnd w:id="14"/>
          </w:p>
        </w:tc>
      </w:tr>
    </w:tbl>
    <w:p>
      <w:pPr>
        <w:pStyle w:val="Heading1"/>
        <w:rPr/>
      </w:pPr>
      <w:r>
        <w:rPr/>
        <w:t>8. Registration</w:t>
      </w:r>
    </w:p>
    <w:tbl>
      <w:tblPr>
        <w:tblStyle w:val="Table"/>
        <w:tblW w:w="5000" w:type="pct"/>
        <w:jc w:val="left"/>
        <w:tblInd w:w="338" w:type="dxa"/>
        <w:tblLayout w:type="fixed"/>
        <w:tblCellMar>
          <w:top w:w="92" w:type="dxa"/>
          <w:left w:w="144" w:type="dxa"/>
          <w:bottom w:w="92" w:type="dxa"/>
          <w:right w:w="144" w:type="dxa"/>
        </w:tblCellMar>
        <w:tblLook w:val="0000" w:noHBand="0" w:noVBand="0" w:firstColumn="0" w:lastRow="0" w:lastColumn="0" w:firstRow="0"/>
      </w:tblPr>
      <w:tblGrid>
        <w:gridCol w:w="9360"/>
      </w:tblGrid>
      <w:tr>
        <w:trPr>
          <w:cantSplit w:val="true"/>
        </w:trPr>
        <w:tc>
          <w:tcPr>
            <w:tcW w:w="9360" w:type="dxa"/>
            <w:tcBorders>
              <w:top w:val="single" w:sz="4" w:space="0" w:color="0758E5"/>
              <w:left w:val="single" w:sz="24" w:space="0" w:color="0758E5"/>
              <w:right w:val="single" w:sz="4" w:space="0" w:color="0758E5"/>
            </w:tcBorders>
            <w:shd w:color="auto" w:fill="DAE6FB" w:val="clear"/>
          </w:tcPr>
          <w:p>
            <w:pPr>
              <w:pStyle w:val="FirstParagraph"/>
              <w:widowControl/>
              <w:spacing w:before="0" w:after="0"/>
              <w:jc w:val="left"/>
              <w:textAlignment w:val="center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drawing>
                <wp:inline distT="0" distB="0" distL="0" distR="0">
                  <wp:extent cx="152400" cy="152400"/>
                  <wp:effectExtent l="0" t="0" r="0" b="0"/>
                  <wp:docPr id="9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 xml:space="preserve">  </w:t>
            </w: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Note</w:t>
            </w:r>
          </w:p>
        </w:tc>
      </w:tr>
      <w:tr>
        <w:trPr>
          <w:cantSplit w:val="true"/>
        </w:trPr>
        <w:tc>
          <w:tcPr>
            <w:tcW w:w="9360" w:type="dxa"/>
            <w:tcBorders>
              <w:left w:val="single" w:sz="24" w:space="0" w:color="0758E5"/>
              <w:bottom w:val="single" w:sz="4" w:space="0" w:color="0758E5"/>
              <w:right w:val="single" w:sz="4" w:space="0" w:color="0758E5"/>
            </w:tcBorders>
            <w:tcMar>
              <w:top w:w="108" w:type="dxa"/>
              <w:bottom w:w="108" w:type="dxa"/>
            </w:tcMar>
          </w:tcPr>
          <w:p>
            <w:pPr>
              <w:pStyle w:val="TextBody"/>
              <w:widowControl/>
              <w:spacing w:before="16" w:after="1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More details to come</w:t>
            </w:r>
          </w:p>
        </w:tc>
      </w:tr>
    </w:tbl>
    <w:p>
      <w:pPr>
        <w:pStyle w:val="Compact"/>
        <w:numPr>
          <w:ilvl w:val="0"/>
          <w:numId w:val="88"/>
        </w:numPr>
        <w:rPr/>
      </w:pPr>
      <w:r>
        <w:rPr/>
        <w:t>Abstract</w:t>
      </w:r>
    </w:p>
    <w:p>
      <w:pPr>
        <w:pStyle w:val="Compact"/>
        <w:numPr>
          <w:ilvl w:val="0"/>
          <w:numId w:val="89"/>
        </w:numPr>
        <w:rPr/>
      </w:pPr>
      <w:r>
        <w:rPr/>
        <w:t>Oral/poster presentation</w:t>
        <w:br/>
      </w:r>
    </w:p>
    <w:p>
      <w:pPr>
        <w:pStyle w:val="Compact"/>
        <w:numPr>
          <w:ilvl w:val="0"/>
          <w:numId w:val="90"/>
        </w:numPr>
        <w:rPr/>
      </w:pPr>
      <w:r>
        <w:rPr/>
        <w:t>Paper in peer-reviewed proceedings (or journal special issue)</w:t>
      </w:r>
    </w:p>
    <w:p>
      <w:pPr>
        <w:pStyle w:val="Compact"/>
        <w:numPr>
          <w:ilvl w:val="0"/>
          <w:numId w:val="91"/>
        </w:numPr>
        <w:rPr/>
      </w:pPr>
      <w:r>
        <w:rPr/>
        <w:t>Link to zoom access to video conference</w:t>
      </w:r>
    </w:p>
    <w:p>
      <w:pPr>
        <w:pStyle w:val="Compact"/>
        <w:numPr>
          <w:ilvl w:val="0"/>
          <w:numId w:val="92"/>
        </w:numPr>
        <w:rPr/>
      </w:pPr>
      <w:r>
        <w:rPr/>
        <w:t>Proceedings</w:t>
      </w:r>
    </w:p>
    <w:p>
      <w:pPr>
        <w:pStyle w:val="Heading2"/>
        <w:rPr/>
      </w:pPr>
      <w:bookmarkStart w:id="15" w:name="in-person-attendance-includes"/>
      <w:r>
        <w:rPr/>
        <w:t>8.1 In person attendance includes</w:t>
      </w:r>
    </w:p>
    <w:p>
      <w:pPr>
        <w:pStyle w:val="Compact"/>
        <w:numPr>
          <w:ilvl w:val="0"/>
          <w:numId w:val="93"/>
        </w:numPr>
        <w:rPr/>
      </w:pPr>
      <w:r>
        <w:rPr/>
        <w:t>All of above</w:t>
      </w:r>
    </w:p>
    <w:p>
      <w:pPr>
        <w:pStyle w:val="Compact"/>
        <w:numPr>
          <w:ilvl w:val="0"/>
          <w:numId w:val="94"/>
        </w:numPr>
        <w:rPr/>
      </w:pPr>
      <w:r>
        <w:rPr/>
        <w:t>4 coffee breaks</w:t>
      </w:r>
    </w:p>
    <w:p>
      <w:pPr>
        <w:pStyle w:val="Compact"/>
        <w:numPr>
          <w:ilvl w:val="0"/>
          <w:numId w:val="95"/>
        </w:numPr>
        <w:rPr/>
      </w:pPr>
      <w:r>
        <w:rPr/>
        <w:t>1 x ice breaker</w:t>
      </w:r>
    </w:p>
    <w:p>
      <w:pPr>
        <w:pStyle w:val="Compact"/>
        <w:numPr>
          <w:ilvl w:val="0"/>
          <w:numId w:val="96"/>
        </w:numPr>
        <w:rPr/>
      </w:pPr>
      <w:r>
        <w:rPr/>
        <w:t>2 x lunch</w:t>
      </w:r>
    </w:p>
    <w:p>
      <w:pPr>
        <w:pStyle w:val="Compact"/>
        <w:numPr>
          <w:ilvl w:val="0"/>
          <w:numId w:val="97"/>
        </w:numPr>
        <w:rPr/>
      </w:pPr>
      <w:bookmarkStart w:id="16" w:name="in-person-attendance-includes"/>
      <w:r>
        <w:rPr/>
        <w:t>1 x conference dinner</w:t>
      </w:r>
      <w:bookmarkEnd w:id="16"/>
    </w:p>
    <w:p>
      <w:pPr>
        <w:pStyle w:val="Heading2"/>
        <w:rPr/>
      </w:pPr>
      <w:bookmarkStart w:id="17" w:name="extra-activities"/>
      <w:r>
        <w:rPr/>
        <w:t>8.2 Extra activities</w:t>
      </w:r>
    </w:p>
    <w:p>
      <w:pPr>
        <w:pStyle w:val="Compact"/>
        <w:numPr>
          <w:ilvl w:val="0"/>
          <w:numId w:val="98"/>
        </w:numPr>
        <w:rPr/>
      </w:pPr>
      <w:r>
        <w:rPr/>
        <w:t>In person short courses, include lunch and coffee breaks)</w:t>
      </w:r>
    </w:p>
    <w:p>
      <w:pPr>
        <w:pStyle w:val="Compact"/>
        <w:numPr>
          <w:ilvl w:val="0"/>
          <w:numId w:val="99"/>
        </w:numPr>
        <w:rPr/>
      </w:pPr>
      <w:r>
        <w:rPr/>
        <w:t>Excursion (Frank Loyd Wright)</w:t>
      </w:r>
    </w:p>
    <w:p>
      <w:pPr>
        <w:pStyle w:val="Compact"/>
        <w:numPr>
          <w:ilvl w:val="0"/>
          <w:numId w:val="100"/>
        </w:numPr>
        <w:rPr/>
      </w:pPr>
      <w:r>
        <w:rPr/>
        <w:t>(Engineering) Geology excursion (2 days, including 1 overnight stay in Flagstaff)</w:t>
      </w:r>
    </w:p>
    <w:p>
      <w:pPr>
        <w:pStyle w:val="Compact"/>
        <w:numPr>
          <w:ilvl w:val="0"/>
          <w:numId w:val="101"/>
        </w:numPr>
        <w:rPr/>
      </w:pPr>
      <w:r>
        <w:rPr/>
        <w:t>Golf clinic with Ed</w:t>
      </w:r>
    </w:p>
    <w:tbl>
      <w:tblPr>
        <w:tblStyle w:val="Table"/>
        <w:tblW w:w="5000" w:type="pct"/>
        <w:jc w:val="left"/>
        <w:tblInd w:w="338" w:type="dxa"/>
        <w:tblLayout w:type="fixed"/>
        <w:tblCellMar>
          <w:top w:w="92" w:type="dxa"/>
          <w:left w:w="144" w:type="dxa"/>
          <w:bottom w:w="92" w:type="dxa"/>
          <w:right w:w="144" w:type="dxa"/>
        </w:tblCellMar>
        <w:tblLook w:val="0000" w:noHBand="0" w:noVBand="0" w:firstColumn="0" w:lastRow="0" w:lastColumn="0" w:firstRow="0"/>
      </w:tblPr>
      <w:tblGrid>
        <w:gridCol w:w="9360"/>
      </w:tblGrid>
      <w:tr>
        <w:trPr>
          <w:cantSplit w:val="true"/>
        </w:trPr>
        <w:tc>
          <w:tcPr>
            <w:tcW w:w="9360" w:type="dxa"/>
            <w:tcBorders>
              <w:top w:val="single" w:sz="4" w:space="0" w:color="0758E5"/>
              <w:left w:val="single" w:sz="24" w:space="0" w:color="0758E5"/>
              <w:right w:val="single" w:sz="4" w:space="0" w:color="0758E5"/>
            </w:tcBorders>
            <w:shd w:color="auto" w:fill="DAE6FB" w:val="clear"/>
          </w:tcPr>
          <w:p>
            <w:pPr>
              <w:pStyle w:val="FirstParagraph"/>
              <w:widowControl/>
              <w:spacing w:before="0" w:after="0"/>
              <w:jc w:val="left"/>
              <w:textAlignment w:val="center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drawing>
                <wp:inline distT="0" distB="0" distL="0" distR="0">
                  <wp:extent cx="152400" cy="152400"/>
                  <wp:effectExtent l="0" t="0" r="0" b="0"/>
                  <wp:docPr id="10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 xml:space="preserve">  </w:t>
            </w: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Note</w:t>
            </w:r>
          </w:p>
        </w:tc>
      </w:tr>
      <w:tr>
        <w:trPr>
          <w:cantSplit w:val="true"/>
        </w:trPr>
        <w:tc>
          <w:tcPr>
            <w:tcW w:w="9360" w:type="dxa"/>
            <w:tcBorders>
              <w:left w:val="single" w:sz="24" w:space="0" w:color="0758E5"/>
              <w:bottom w:val="single" w:sz="4" w:space="0" w:color="0758E5"/>
              <w:right w:val="single" w:sz="4" w:space="0" w:color="0758E5"/>
            </w:tcBorders>
            <w:tcMar>
              <w:top w:w="108" w:type="dxa"/>
              <w:bottom w:w="108" w:type="dxa"/>
            </w:tcMar>
          </w:tcPr>
          <w:p>
            <w:pPr>
              <w:pStyle w:val="Normal"/>
              <w:widowControl/>
              <w:numPr>
                <w:ilvl w:val="0"/>
                <w:numId w:val="102"/>
              </w:numPr>
              <w:spacing w:before="0" w:after="200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Do we still need the virtual option?</w:t>
            </w:r>
          </w:p>
          <w:p>
            <w:pPr>
              <w:pStyle w:val="Normal"/>
              <w:widowControl/>
              <w:numPr>
                <w:ilvl w:val="0"/>
                <w:numId w:val="103"/>
              </w:numPr>
              <w:spacing w:before="0" w:after="200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We need a platform for registration</w:t>
            </w:r>
          </w:p>
          <w:p>
            <w:pPr>
              <w:pStyle w:val="Normal"/>
              <w:widowControl/>
              <w:numPr>
                <w:ilvl w:val="0"/>
                <w:numId w:val="104"/>
              </w:numPr>
              <w:spacing w:before="0" w:after="200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bookmarkStart w:id="18" w:name="extra-activities"/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Do we still need the extra activities?</w:t>
            </w:r>
            <w:bookmarkEnd w:id="18"/>
          </w:p>
        </w:tc>
      </w:tr>
    </w:tbl>
    <w:p>
      <w:pPr>
        <w:pStyle w:val="Heading1"/>
        <w:rPr/>
      </w:pPr>
      <w:r>
        <w:rPr/>
        <w:t>9. Publication</w:t>
      </w:r>
    </w:p>
    <w:tbl>
      <w:tblPr>
        <w:tblStyle w:val="Table"/>
        <w:tblW w:w="5000" w:type="pct"/>
        <w:jc w:val="left"/>
        <w:tblInd w:w="338" w:type="dxa"/>
        <w:tblLayout w:type="fixed"/>
        <w:tblCellMar>
          <w:top w:w="92" w:type="dxa"/>
          <w:left w:w="144" w:type="dxa"/>
          <w:bottom w:w="92" w:type="dxa"/>
          <w:right w:w="144" w:type="dxa"/>
        </w:tblCellMar>
        <w:tblLook w:val="0000" w:noHBand="0" w:noVBand="0" w:firstColumn="0" w:lastRow="0" w:lastColumn="0" w:firstRow="0"/>
      </w:tblPr>
      <w:tblGrid>
        <w:gridCol w:w="9360"/>
      </w:tblGrid>
      <w:tr>
        <w:trPr>
          <w:cantSplit w:val="true"/>
        </w:trPr>
        <w:tc>
          <w:tcPr>
            <w:tcW w:w="9360" w:type="dxa"/>
            <w:tcBorders>
              <w:top w:val="single" w:sz="4" w:space="0" w:color="0758E5"/>
              <w:left w:val="single" w:sz="24" w:space="0" w:color="0758E5"/>
              <w:right w:val="single" w:sz="4" w:space="0" w:color="0758E5"/>
            </w:tcBorders>
            <w:shd w:color="auto" w:fill="DAE6FB" w:val="clear"/>
          </w:tcPr>
          <w:p>
            <w:pPr>
              <w:pStyle w:val="FirstParagraph"/>
              <w:widowControl/>
              <w:spacing w:before="0" w:after="0"/>
              <w:jc w:val="left"/>
              <w:textAlignment w:val="center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drawing>
                <wp:inline distT="0" distB="0" distL="0" distR="0">
                  <wp:extent cx="152400" cy="152400"/>
                  <wp:effectExtent l="0" t="0" r="0" b="0"/>
                  <wp:docPr id="11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 xml:space="preserve">  </w:t>
            </w: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Note</w:t>
            </w:r>
          </w:p>
        </w:tc>
      </w:tr>
      <w:tr>
        <w:trPr>
          <w:cantSplit w:val="true"/>
        </w:trPr>
        <w:tc>
          <w:tcPr>
            <w:tcW w:w="9360" w:type="dxa"/>
            <w:tcBorders>
              <w:left w:val="single" w:sz="24" w:space="0" w:color="0758E5"/>
              <w:bottom w:val="single" w:sz="4" w:space="0" w:color="0758E5"/>
              <w:right w:val="single" w:sz="4" w:space="0" w:color="0758E5"/>
            </w:tcBorders>
            <w:tcMar>
              <w:top w:w="108" w:type="dxa"/>
              <w:bottom w:w="108" w:type="dxa"/>
            </w:tcMar>
          </w:tcPr>
          <w:p>
            <w:pPr>
              <w:pStyle w:val="TextBody"/>
              <w:widowControl/>
              <w:spacing w:before="16" w:after="1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To be determined.</w:t>
            </w:r>
          </w:p>
        </w:tc>
      </w:tr>
    </w:tbl>
    <w:p>
      <w:pPr>
        <w:pStyle w:val="Compact"/>
        <w:numPr>
          <w:ilvl w:val="0"/>
          <w:numId w:val="105"/>
        </w:numPr>
        <w:rPr/>
      </w:pPr>
      <w:r>
        <w:rPr/>
        <w:t>E3S</w:t>
      </w:r>
    </w:p>
    <w:p>
      <w:pPr>
        <w:pStyle w:val="Compact"/>
        <w:numPr>
          <w:ilvl w:val="0"/>
          <w:numId w:val="106"/>
        </w:numPr>
        <w:rPr/>
      </w:pPr>
      <w:r>
        <w:rPr/>
        <w:t>arxiv</w:t>
      </w:r>
    </w:p>
    <w:p>
      <w:pPr>
        <w:pStyle w:val="Compact"/>
        <w:numPr>
          <w:ilvl w:val="0"/>
          <w:numId w:val="107"/>
        </w:numPr>
        <w:rPr/>
      </w:pPr>
      <w:r>
        <w:rPr/>
        <w:t>Special issues in journals</w:t>
      </w:r>
    </w:p>
    <w:p>
      <w:pPr>
        <w:pStyle w:val="Compact"/>
        <w:numPr>
          <w:ilvl w:val="0"/>
          <w:numId w:val="108"/>
        </w:numPr>
        <w:rPr/>
      </w:pPr>
      <w:r>
        <w:rPr/>
        <w:t>Traditional conference proceedings</w:t>
      </w:r>
    </w:p>
    <w:tbl>
      <w:tblPr>
        <w:tblStyle w:val="Table"/>
        <w:tblW w:w="5000" w:type="pct"/>
        <w:jc w:val="left"/>
        <w:tblInd w:w="338" w:type="dxa"/>
        <w:tblLayout w:type="fixed"/>
        <w:tblCellMar>
          <w:top w:w="92" w:type="dxa"/>
          <w:left w:w="144" w:type="dxa"/>
          <w:bottom w:w="92" w:type="dxa"/>
          <w:right w:w="144" w:type="dxa"/>
        </w:tblCellMar>
        <w:tblLook w:val="0000" w:noHBand="0" w:noVBand="0" w:firstColumn="0" w:lastRow="0" w:lastColumn="0" w:firstRow="0"/>
      </w:tblPr>
      <w:tblGrid>
        <w:gridCol w:w="9360"/>
      </w:tblGrid>
      <w:tr>
        <w:trPr>
          <w:cantSplit w:val="true"/>
        </w:trPr>
        <w:tc>
          <w:tcPr>
            <w:tcW w:w="9360" w:type="dxa"/>
            <w:tcBorders>
              <w:top w:val="single" w:sz="4" w:space="0" w:color="0758E5"/>
              <w:left w:val="single" w:sz="24" w:space="0" w:color="0758E5"/>
              <w:right w:val="single" w:sz="4" w:space="0" w:color="0758E5"/>
            </w:tcBorders>
            <w:shd w:color="auto" w:fill="DAE6FB" w:val="clear"/>
          </w:tcPr>
          <w:p>
            <w:pPr>
              <w:pStyle w:val="FirstParagraph"/>
              <w:widowControl/>
              <w:spacing w:before="0" w:after="0"/>
              <w:jc w:val="left"/>
              <w:textAlignment w:val="center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drawing>
                <wp:inline distT="0" distB="0" distL="0" distR="0">
                  <wp:extent cx="152400" cy="152400"/>
                  <wp:effectExtent l="0" t="0" r="0" b="0"/>
                  <wp:docPr id="12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 xml:space="preserve">  </w:t>
            </w: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Note</w:t>
            </w:r>
          </w:p>
        </w:tc>
      </w:tr>
      <w:tr>
        <w:trPr>
          <w:cantSplit w:val="true"/>
        </w:trPr>
        <w:tc>
          <w:tcPr>
            <w:tcW w:w="9360" w:type="dxa"/>
            <w:tcBorders>
              <w:left w:val="single" w:sz="24" w:space="0" w:color="0758E5"/>
              <w:bottom w:val="single" w:sz="4" w:space="0" w:color="0758E5"/>
              <w:right w:val="single" w:sz="4" w:space="0" w:color="0758E5"/>
            </w:tcBorders>
            <w:tcMar>
              <w:top w:w="108" w:type="dxa"/>
              <w:bottom w:w="108" w:type="dxa"/>
            </w:tcMar>
          </w:tcPr>
          <w:p>
            <w:pPr>
              <w:pStyle w:val="Normal"/>
              <w:widowControl/>
              <w:numPr>
                <w:ilvl w:val="0"/>
                <w:numId w:val="109"/>
              </w:numPr>
              <w:spacing w:before="0" w:after="200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I personally would to like to embrace open science as much as we can for this conference.</w:t>
            </w:r>
          </w:p>
          <w:p>
            <w:pPr>
              <w:pStyle w:val="Normal"/>
              <w:widowControl/>
              <w:numPr>
                <w:ilvl w:val="0"/>
                <w:numId w:val="110"/>
              </w:numPr>
              <w:spacing w:before="0" w:after="200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Regarding publication:</w:t>
            </w:r>
          </w:p>
          <w:p>
            <w:pPr>
              <w:pStyle w:val="Compact"/>
              <w:widowControl/>
              <w:numPr>
                <w:ilvl w:val="1"/>
                <w:numId w:val="111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Seems like Zenodo is a good option</w:t>
            </w:r>
          </w:p>
          <w:p>
            <w:pPr>
              <w:pStyle w:val="Compact"/>
              <w:widowControl/>
              <w:numPr>
                <w:ilvl w:val="1"/>
                <w:numId w:val="112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One can create a community to collect, curate, harvest submissions</w:t>
            </w:r>
          </w:p>
          <w:p>
            <w:pPr>
              <w:pStyle w:val="Compact"/>
              <w:widowControl/>
              <w:numPr>
                <w:ilvl w:val="1"/>
                <w:numId w:val="113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The submissions can be versioned and each will have a DOI</w:t>
            </w:r>
          </w:p>
          <w:p>
            <w:pPr>
              <w:pStyle w:val="Compact"/>
              <w:widowControl/>
              <w:numPr>
                <w:ilvl w:val="1"/>
                <w:numId w:val="114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We can still peer review and ask the authors revive, resubmit with a new version</w:t>
            </w:r>
          </w:p>
          <w:p>
            <w:pPr>
              <w:pStyle w:val="Compact"/>
              <w:widowControl/>
              <w:numPr>
                <w:ilvl w:val="1"/>
                <w:numId w:val="115"/>
              </w:numPr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How about ISSN and indexing?</w:t>
            </w:r>
          </w:p>
          <w:p>
            <w:pPr>
              <w:pStyle w:val="Normal"/>
              <w:widowControl/>
              <w:numPr>
                <w:ilvl w:val="0"/>
                <w:numId w:val="116"/>
              </w:numPr>
              <w:spacing w:before="0" w:after="200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We need a platform for handling paper submission and peer-review</w:t>
            </w:r>
          </w:p>
          <w:p>
            <w:pPr>
              <w:pStyle w:val="Normal"/>
              <w:widowControl/>
              <w:numPr>
                <w:ilvl w:val="0"/>
                <w:numId w:val="117"/>
              </w:numPr>
              <w:spacing w:before="0" w:after="200"/>
              <w:jc w:val="left"/>
              <w:rPr/>
            </w:pPr>
            <w:hyperlink r:id="rId17">
              <w:r>
                <w:rPr>
                  <w:rStyle w:val="InternetLink"/>
                  <w:rFonts w:eastAsia="Cambria" w:cs=""/>
                  <w:kern w:val="0"/>
                  <w:sz w:val="24"/>
                  <w:szCs w:val="24"/>
                  <w:lang w:val="en-US" w:eastAsia="en-US" w:bidi="ar-SA"/>
                </w:rPr>
                <w:t>Open Conf</w:t>
              </w:r>
            </w:hyperlink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 xml:space="preserve"> is an option</w:t>
            </w:r>
          </w:p>
        </w:tc>
      </w:tr>
    </w:tbl>
    <w:p>
      <w:pPr>
        <w:pStyle w:val="Heading1"/>
        <w:rPr/>
      </w:pPr>
      <w:r>
        <w:rPr/>
        <w:t>10. Sponsors</w:t>
      </w:r>
    </w:p>
    <w:tbl>
      <w:tblPr>
        <w:tblStyle w:val="Table"/>
        <w:tblW w:w="5000" w:type="pct"/>
        <w:jc w:val="left"/>
        <w:tblInd w:w="338" w:type="dxa"/>
        <w:tblLayout w:type="fixed"/>
        <w:tblCellMar>
          <w:top w:w="92" w:type="dxa"/>
          <w:left w:w="144" w:type="dxa"/>
          <w:bottom w:w="92" w:type="dxa"/>
          <w:right w:w="144" w:type="dxa"/>
        </w:tblCellMar>
        <w:tblLook w:val="0000" w:noHBand="0" w:noVBand="0" w:firstColumn="0" w:lastRow="0" w:lastColumn="0" w:firstRow="0"/>
      </w:tblPr>
      <w:tblGrid>
        <w:gridCol w:w="9360"/>
      </w:tblGrid>
      <w:tr>
        <w:trPr>
          <w:cantSplit w:val="true"/>
        </w:trPr>
        <w:tc>
          <w:tcPr>
            <w:tcW w:w="9360" w:type="dxa"/>
            <w:tcBorders>
              <w:top w:val="single" w:sz="4" w:space="0" w:color="0758E5"/>
              <w:left w:val="single" w:sz="24" w:space="0" w:color="0758E5"/>
              <w:right w:val="single" w:sz="4" w:space="0" w:color="0758E5"/>
            </w:tcBorders>
            <w:shd w:color="auto" w:fill="DAE6FB" w:val="clear"/>
          </w:tcPr>
          <w:p>
            <w:pPr>
              <w:pStyle w:val="FirstParagraph"/>
              <w:widowControl/>
              <w:spacing w:before="0" w:after="0"/>
              <w:jc w:val="left"/>
              <w:textAlignment w:val="center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drawing>
                <wp:inline distT="0" distB="0" distL="0" distR="0">
                  <wp:extent cx="152400" cy="152400"/>
                  <wp:effectExtent l="0" t="0" r="0" b="0"/>
                  <wp:docPr id="13" name="Image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 xml:space="preserve">  </w:t>
            </w: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Note</w:t>
            </w:r>
          </w:p>
        </w:tc>
      </w:tr>
      <w:tr>
        <w:trPr>
          <w:cantSplit w:val="true"/>
        </w:trPr>
        <w:tc>
          <w:tcPr>
            <w:tcW w:w="9360" w:type="dxa"/>
            <w:tcBorders>
              <w:left w:val="single" w:sz="24" w:space="0" w:color="0758E5"/>
              <w:bottom w:val="single" w:sz="4" w:space="0" w:color="0758E5"/>
              <w:right w:val="single" w:sz="4" w:space="0" w:color="0758E5"/>
            </w:tcBorders>
            <w:tcMar>
              <w:top w:w="108" w:type="dxa"/>
              <w:bottom w:w="108" w:type="dxa"/>
            </w:tcMar>
          </w:tcPr>
          <w:p>
            <w:pPr>
              <w:pStyle w:val="TextBody"/>
              <w:widowControl/>
              <w:spacing w:before="16" w:after="1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en-US" w:eastAsia="en-US" w:bidi="ar-SA"/>
              </w:rPr>
              <w:t>More to come</w:t>
            </w:r>
          </w:p>
        </w:tc>
      </w:tr>
    </w:tbl>
    <w:p>
      <w:pPr>
        <w:pStyle w:val="Compact"/>
        <w:numPr>
          <w:ilvl w:val="0"/>
          <w:numId w:val="118"/>
        </w:numPr>
        <w:rPr/>
      </w:pPr>
      <w:r>
        <w:rPr/>
        <w:t>NSF</w:t>
      </w:r>
    </w:p>
    <w:p>
      <w:pPr>
        <w:pStyle w:val="Compact"/>
        <w:numPr>
          <w:ilvl w:val="0"/>
          <w:numId w:val="119"/>
        </w:numPr>
        <w:rPr/>
      </w:pPr>
      <w:r>
        <w:rPr/>
        <w:t>ISSMGE TC 102 - Ground Property Characterization from In-Situ Tests</w:t>
      </w:r>
    </w:p>
    <w:p>
      <w:pPr>
        <w:pStyle w:val="Compact"/>
        <w:numPr>
          <w:ilvl w:val="0"/>
          <w:numId w:val="120"/>
        </w:numPr>
        <w:rPr/>
      </w:pPr>
      <w:r>
        <w:rPr/>
        <w:t>ISSMGE TC 215 – Environmental Geotechnics</w:t>
      </w:r>
    </w:p>
    <w:p>
      <w:pPr>
        <w:pStyle w:val="Heading2"/>
        <w:rPr/>
      </w:pPr>
      <w:bookmarkStart w:id="19" w:name="to-be-confirmed"/>
      <w:r>
        <w:rPr/>
        <w:t>10.1 To be confirmed</w:t>
      </w:r>
    </w:p>
    <w:p>
      <w:pPr>
        <w:pStyle w:val="Compact"/>
        <w:numPr>
          <w:ilvl w:val="0"/>
          <w:numId w:val="121"/>
        </w:numPr>
        <w:rPr/>
      </w:pPr>
      <w:r>
        <w:rPr/>
        <w:t>ISSMGE TC211 – Ground improvement</w:t>
      </w:r>
    </w:p>
    <w:p>
      <w:pPr>
        <w:pStyle w:val="Compact"/>
        <w:numPr>
          <w:ilvl w:val="0"/>
          <w:numId w:val="122"/>
        </w:numPr>
        <w:rPr/>
      </w:pPr>
      <w:r>
        <w:rPr/>
        <w:t>Geo-institute</w:t>
      </w:r>
    </w:p>
    <w:p>
      <w:pPr>
        <w:pStyle w:val="Compact"/>
        <w:numPr>
          <w:ilvl w:val="0"/>
          <w:numId w:val="123"/>
        </w:numPr>
        <w:rPr/>
      </w:pPr>
      <w:r>
        <w:rPr/>
        <w:t>TRB</w:t>
      </w:r>
    </w:p>
    <w:p>
      <w:pPr>
        <w:pStyle w:val="Compact"/>
        <w:numPr>
          <w:ilvl w:val="0"/>
          <w:numId w:val="124"/>
        </w:numPr>
        <w:rPr/>
      </w:pPr>
      <w:bookmarkStart w:id="20" w:name="to-be-confirmed"/>
      <w:r>
        <w:rPr/>
        <w:t>Specialty conference</w:t>
      </w:r>
      <w:bookmarkEnd w:id="20"/>
    </w:p>
    <w:p>
      <w:pPr>
        <w:pStyle w:val="Heading1"/>
        <w:rPr/>
      </w:pPr>
      <w:bookmarkStart w:id="21" w:name="about"/>
      <w:r>
        <w:rPr/>
        <w:t>11. About</w:t>
      </w:r>
    </w:p>
    <w:p>
      <w:pPr>
        <w:pStyle w:val="FirstParagraph"/>
        <w:rPr/>
      </w:pPr>
      <w:r>
        <w:rPr/>
        <w:t>The conference seeks to present the state of the art in the field of Bio-mediated and Bio-inspired Geotechnics (BioGeotechnics), promote co-operation and exchange of information about the emerging field of bio-geotechnics; develop and promote improved modeling of bio-mediated and bio-inspired processes; translate fundamental bio-inspired knowledge into enabling technologies with future commercialization potential; and facilitate the adoption of bio-mediated and bio-inspired solutions into geotechnical engineering practice.</w:t>
      </w:r>
    </w:p>
    <w:p>
      <w:pPr>
        <w:pStyle w:val="Normal"/>
        <w:numPr>
          <w:ilvl w:val="0"/>
          <w:numId w:val="125"/>
        </w:numPr>
        <w:rPr/>
      </w:pPr>
      <w:r>
        <w:rPr/>
        <w:t>Provide a state of the art on biogeotechnics</w:t>
      </w:r>
    </w:p>
    <w:p>
      <w:pPr>
        <w:pStyle w:val="Normal"/>
        <w:numPr>
          <w:ilvl w:val="0"/>
          <w:numId w:val="126"/>
        </w:numPr>
        <w:rPr/>
      </w:pPr>
      <w:r>
        <w:rPr/>
        <w:t>Facilitate knowledge exchange on biogeotechnics among</w:t>
      </w:r>
    </w:p>
    <w:p>
      <w:pPr>
        <w:pStyle w:val="Compact"/>
        <w:numPr>
          <w:ilvl w:val="1"/>
          <w:numId w:val="127"/>
        </w:numPr>
        <w:rPr/>
      </w:pPr>
      <w:r>
        <w:rPr/>
        <w:t>international researchers,</w:t>
      </w:r>
    </w:p>
    <w:p>
      <w:pPr>
        <w:pStyle w:val="Compact"/>
        <w:numPr>
          <w:ilvl w:val="1"/>
          <w:numId w:val="128"/>
        </w:numPr>
        <w:rPr/>
      </w:pPr>
      <w:r>
        <w:rPr/>
        <w:t>industry,</w:t>
      </w:r>
    </w:p>
    <w:p>
      <w:pPr>
        <w:pStyle w:val="Compact"/>
        <w:numPr>
          <w:ilvl w:val="1"/>
          <w:numId w:val="129"/>
        </w:numPr>
        <w:rPr/>
      </w:pPr>
      <w:r>
        <w:rPr/>
        <w:t>agencies,</w:t>
      </w:r>
    </w:p>
    <w:p>
      <w:pPr>
        <w:pStyle w:val="Compact"/>
        <w:numPr>
          <w:ilvl w:val="1"/>
          <w:numId w:val="130"/>
        </w:numPr>
        <w:rPr/>
      </w:pPr>
      <w:r>
        <w:rPr/>
        <w:t>educators</w:t>
      </w:r>
    </w:p>
    <w:p>
      <w:pPr>
        <w:pStyle w:val="Normal"/>
        <w:numPr>
          <w:ilvl w:val="0"/>
          <w:numId w:val="131"/>
        </w:numPr>
        <w:rPr/>
      </w:pPr>
      <w:r>
        <w:rPr/>
        <w:t>Initiate development of an international research network</w:t>
      </w:r>
    </w:p>
    <w:p>
      <w:pPr>
        <w:pStyle w:val="Normal"/>
        <w:numPr>
          <w:ilvl w:val="0"/>
          <w:numId w:val="132"/>
        </w:numPr>
        <w:rPr/>
      </w:pPr>
      <w:r>
        <w:rPr/>
        <w:t>Provide workshops and short courses</w:t>
      </w:r>
    </w:p>
    <w:p>
      <w:pPr>
        <w:pStyle w:val="Heading2"/>
        <w:rPr/>
      </w:pPr>
      <w:bookmarkStart w:id="22" w:name="targeted-number-of-attendants"/>
      <w:r>
        <w:rPr/>
        <w:t>11.1 Targeted number of attendants</w:t>
      </w:r>
    </w:p>
    <w:p>
      <w:pPr>
        <w:pStyle w:val="Compact"/>
        <w:numPr>
          <w:ilvl w:val="0"/>
          <w:numId w:val="133"/>
        </w:numPr>
        <w:spacing w:before="36" w:after="36"/>
        <w:rPr/>
      </w:pPr>
      <w:bookmarkStart w:id="23" w:name="about"/>
      <w:bookmarkStart w:id="24" w:name="targeted-number-of-attendants"/>
      <w:r>
        <w:rPr/>
        <w:t>150 to 200</w:t>
      </w:r>
      <w:bookmarkEnd w:id="23"/>
      <w:bookmarkEnd w:id="24"/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default"/>
  </w:font>
  <w:font w:name="Calibri">
    <w:charset w:val="01"/>
    <w:family w:val="roman"/>
    <w:pitch w:val="default"/>
  </w:font>
  <w:font w:name="Consolas">
    <w:charset w:val="01"/>
    <w:family w:val="roman"/>
    <w:pitch w:val="default"/>
  </w:font>
  <w:font w:name="Times New Roman">
    <w:charset w:val="01"/>
    <w:family w:val="roman"/>
    <w:pitch w:val="default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3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4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5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6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7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8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9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0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1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2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3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4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5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6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7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8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9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0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1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2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3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4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5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6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7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8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9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30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31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32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3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</w:num>
  <w:num w:numId="44">
    <w:abstractNumId w:val="1"/>
  </w:num>
  <w:num w:numId="45">
    <w:abstractNumId w:val="1"/>
  </w:num>
  <w:num w:numId="46">
    <w:abstractNumId w:val="1"/>
  </w:num>
  <w:num w:numId="47">
    <w:abstractNumId w:val="1"/>
  </w:num>
  <w:num w:numId="48">
    <w:abstractNumId w:val="1"/>
  </w:num>
  <w:num w:numId="49">
    <w:abstractNumId w:val="1"/>
  </w:num>
  <w:num w:numId="50">
    <w:abstractNumId w:val="1"/>
  </w:num>
  <w:num w:numId="51">
    <w:abstractNumId w:val="1"/>
  </w:num>
  <w:num w:numId="52">
    <w:abstractNumId w:val="1"/>
  </w:num>
  <w:num w:numId="53">
    <w:abstractNumId w:val="1"/>
  </w:num>
  <w:num w:numId="54">
    <w:abstractNumId w:val="1"/>
  </w:num>
  <w:num w:numId="55">
    <w:abstractNumId w:val="1"/>
  </w:num>
  <w:num w:numId="56">
    <w:abstractNumId w:val="1"/>
  </w:num>
  <w:num w:numId="57">
    <w:abstractNumId w:val="1"/>
  </w:num>
  <w:num w:numId="58">
    <w:abstractNumId w:val="1"/>
  </w:num>
  <w:num w:numId="59">
    <w:abstractNumId w:val="1"/>
  </w:num>
  <w:num w:numId="60">
    <w:abstractNumId w:val="1"/>
  </w:num>
  <w:num w:numId="61">
    <w:abstractNumId w:val="1"/>
  </w:num>
  <w:num w:numId="62">
    <w:abstractNumId w:val="1"/>
  </w:num>
  <w:num w:numId="63">
    <w:abstractNumId w:val="1"/>
  </w:num>
  <w:num w:numId="64">
    <w:abstractNumId w:val="1"/>
  </w:num>
  <w:num w:numId="65">
    <w:abstractNumId w:val="1"/>
  </w:num>
  <w:num w:numId="66">
    <w:abstractNumId w:val="1"/>
  </w:num>
  <w:num w:numId="67">
    <w:abstractNumId w:val="1"/>
  </w:num>
  <w:num w:numId="68">
    <w:abstractNumId w:val="1"/>
  </w:num>
  <w:num w:numId="69">
    <w:abstractNumId w:val="1"/>
  </w:num>
  <w:num w:numId="70">
    <w:abstractNumId w:val="1"/>
  </w:num>
  <w:num w:numId="71">
    <w:abstractNumId w:val="1"/>
  </w:num>
  <w:num w:numId="72">
    <w:abstractNumId w:val="1"/>
  </w:num>
  <w:num w:numId="73">
    <w:abstractNumId w:val="1"/>
  </w:num>
  <w:num w:numId="74">
    <w:abstractNumId w:val="1"/>
  </w:num>
  <w:num w:numId="75">
    <w:abstractNumId w:val="1"/>
  </w:num>
  <w:num w:numId="76">
    <w:abstractNumId w:val="1"/>
  </w:num>
  <w:num w:numId="77">
    <w:abstractNumId w:val="1"/>
  </w:num>
  <w:num w:numId="78">
    <w:abstractNumId w:val="1"/>
  </w:num>
  <w:num w:numId="79">
    <w:abstractNumId w:val="1"/>
  </w:num>
  <w:num w:numId="80">
    <w:abstractNumId w:val="1"/>
  </w:num>
  <w:num w:numId="81">
    <w:abstractNumId w:val="1"/>
  </w:num>
  <w:num w:numId="82">
    <w:abstractNumId w:val="1"/>
  </w:num>
  <w:num w:numId="83">
    <w:abstractNumId w:val="1"/>
  </w:num>
  <w:num w:numId="84">
    <w:abstractNumId w:val="1"/>
  </w:num>
  <w:num w:numId="85">
    <w:abstractNumId w:val="1"/>
  </w:num>
  <w:num w:numId="86">
    <w:abstractNumId w:val="1"/>
  </w:num>
  <w:num w:numId="87">
    <w:abstractNumId w:val="1"/>
  </w:num>
  <w:num w:numId="88">
    <w:abstractNumId w:val="1"/>
  </w:num>
  <w:num w:numId="89">
    <w:abstractNumId w:val="1"/>
  </w:num>
  <w:num w:numId="90">
    <w:abstractNumId w:val="1"/>
  </w:num>
  <w:num w:numId="91">
    <w:abstractNumId w:val="1"/>
  </w:num>
  <w:num w:numId="92">
    <w:abstractNumId w:val="1"/>
  </w:num>
  <w:num w:numId="93">
    <w:abstractNumId w:val="1"/>
  </w:num>
  <w:num w:numId="94">
    <w:abstractNumId w:val="1"/>
  </w:num>
  <w:num w:numId="95">
    <w:abstractNumId w:val="1"/>
  </w:num>
  <w:num w:numId="96">
    <w:abstractNumId w:val="1"/>
  </w:num>
  <w:num w:numId="97">
    <w:abstractNumId w:val="1"/>
  </w:num>
  <w:num w:numId="98">
    <w:abstractNumId w:val="1"/>
  </w:num>
  <w:num w:numId="99">
    <w:abstractNumId w:val="1"/>
  </w:num>
  <w:num w:numId="100">
    <w:abstractNumId w:val="1"/>
  </w:num>
  <w:num w:numId="101">
    <w:abstractNumId w:val="1"/>
  </w:num>
  <w:num w:numId="102">
    <w:abstractNumId w:val="1"/>
  </w:num>
  <w:num w:numId="103">
    <w:abstractNumId w:val="1"/>
  </w:num>
  <w:num w:numId="104">
    <w:abstractNumId w:val="1"/>
  </w:num>
  <w:num w:numId="105">
    <w:abstractNumId w:val="1"/>
  </w:num>
  <w:num w:numId="106">
    <w:abstractNumId w:val="1"/>
  </w:num>
  <w:num w:numId="107">
    <w:abstractNumId w:val="1"/>
  </w:num>
  <w:num w:numId="108">
    <w:abstractNumId w:val="1"/>
  </w:num>
  <w:num w:numId="109">
    <w:abstractNumId w:val="1"/>
  </w:num>
  <w:num w:numId="110">
    <w:abstractNumId w:val="1"/>
  </w:num>
  <w:num w:numId="111">
    <w:abstractNumId w:val="1"/>
  </w:num>
  <w:num w:numId="112">
    <w:abstractNumId w:val="1"/>
  </w:num>
  <w:num w:numId="113">
    <w:abstractNumId w:val="1"/>
  </w:num>
  <w:num w:numId="114">
    <w:abstractNumId w:val="1"/>
  </w:num>
  <w:num w:numId="115">
    <w:abstractNumId w:val="1"/>
  </w:num>
  <w:num w:numId="116">
    <w:abstractNumId w:val="1"/>
  </w:num>
  <w:num w:numId="117">
    <w:abstractNumId w:val="1"/>
  </w:num>
  <w:num w:numId="118">
    <w:abstractNumId w:val="1"/>
  </w:num>
  <w:num w:numId="119">
    <w:abstractNumId w:val="1"/>
  </w:num>
  <w:num w:numId="120">
    <w:abstractNumId w:val="1"/>
  </w:num>
  <w:num w:numId="121">
    <w:abstractNumId w:val="1"/>
  </w:num>
  <w:num w:numId="122">
    <w:abstractNumId w:val="1"/>
  </w:num>
  <w:num w:numId="123">
    <w:abstractNumId w:val="1"/>
  </w:num>
  <w:num w:numId="124">
    <w:abstractNumId w:val="1"/>
  </w:num>
  <w:num w:numId="125">
    <w:abstractNumId w:val="1"/>
  </w:num>
  <w:num w:numId="126">
    <w:abstractNumId w:val="1"/>
  </w:num>
  <w:num w:numId="127">
    <w:abstractNumId w:val="1"/>
  </w:num>
  <w:num w:numId="128">
    <w:abstractNumId w:val="1"/>
  </w:num>
  <w:num w:numId="129">
    <w:abstractNumId w:val="1"/>
  </w:num>
  <w:num w:numId="130">
    <w:abstractNumId w:val="1"/>
  </w:num>
  <w:num w:numId="131">
    <w:abstractNumId w:val="1"/>
  </w:num>
  <w:num w:numId="132">
    <w:abstractNumId w:val="1"/>
  </w:num>
  <w:num w:numId="133">
    <w:abstractNumId w:val="1"/>
  </w:num>
</w:numbering>
</file>

<file path=word/settings.xml><?xml version="1.0" encoding="utf-8"?>
<w:settings xmlns:w="http://schemas.openxmlformats.org/wordprocessingml/2006/main">
  <w:zoom w:percent="100"/>
  <w:embedSystemFonts/>
  <w:defaultTabStop w:val="720"/>
  <w:autoHyphenation w:val="true"/>
  <w:compat>
    <w:compatSetting w:name="compatibilityMode" w:uri="http://schemas.microsoft.com/office/word" w:val="12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" w:asciiTheme="minorHAnsi" w:cstheme="minorBidi" w:eastAsiaTheme="minorHAnsi" w:hAnsiTheme="minorHAnsi"/>
        <w:sz w:val="24"/>
        <w:szCs w:val="24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bidi w:val="0"/>
      <w:spacing w:before="0" w:after="200"/>
      <w:jc w:val="left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Heading1">
    <w:name w:val="Heading 1"/>
    <w:basedOn w:val="Normal"/>
    <w:next w:val="TextBody"/>
    <w:uiPriority w:val="9"/>
    <w:qFormat/>
    <w:pPr>
      <w:keepNext w:val="true"/>
      <w:keepLines/>
      <w:spacing w:before="480" w:after="0"/>
      <w:outlineLvl w:val="0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TextBody"/>
    <w:uiPriority w:val="9"/>
    <w:unhideWhenUsed/>
    <w:qFormat/>
    <w:pPr>
      <w:keepNext w:val="true"/>
      <w:keepLines/>
      <w:spacing w:before="200" w:after="0"/>
      <w:outlineLvl w:val="1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TextBody"/>
    <w:uiPriority w:val="9"/>
    <w:unhideWhenUsed/>
    <w:qFormat/>
    <w:pPr>
      <w:keepNext w:val="true"/>
      <w:keepLines/>
      <w:spacing w:before="200" w:after="0"/>
      <w:outlineLvl w:val="2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TextBody"/>
    <w:uiPriority w:val="9"/>
    <w:unhideWhenUsed/>
    <w:qFormat/>
    <w:pPr>
      <w:keepNext w:val="true"/>
      <w:keepLines/>
      <w:spacing w:before="200" w:after="0"/>
      <w:outlineLvl w:val="3"/>
    </w:pPr>
    <w:rPr>
      <w:rFonts w:ascii="Calibri" w:hAnsi="Calibri" w:eastAsia="" w:cs="" w:asciiTheme="majorHAnsi" w:cstheme="majorBidi" w:eastAsiaTheme="majorEastAsia" w:hAnsiTheme="majorHAnsi"/>
      <w:bCs/>
      <w:i/>
      <w:color w:val="4F81BD" w:themeColor="accent1"/>
      <w:sz w:val="24"/>
      <w:szCs w:val="24"/>
    </w:rPr>
  </w:style>
  <w:style w:type="paragraph" w:styleId="Heading5">
    <w:name w:val="Heading 5"/>
    <w:basedOn w:val="Normal"/>
    <w:next w:val="TextBody"/>
    <w:uiPriority w:val="9"/>
    <w:unhideWhenUsed/>
    <w:qFormat/>
    <w:pPr>
      <w:keepNext w:val="true"/>
      <w:keepLines/>
      <w:spacing w:before="200" w:after="0"/>
      <w:outlineLvl w:val="4"/>
    </w:pPr>
    <w:rPr>
      <w:rFonts w:ascii="Calibri" w:hAnsi="Calibri" w:eastAsia="" w:cs="" w:asciiTheme="majorHAnsi" w:cstheme="majorBidi" w:eastAsiaTheme="majorEastAsia" w:hAnsiTheme="majorHAns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TextBody"/>
    <w:uiPriority w:val="9"/>
    <w:unhideWhenUsed/>
    <w:qFormat/>
    <w:pPr>
      <w:keepNext w:val="true"/>
      <w:keepLines/>
      <w:spacing w:before="200" w:after="0"/>
      <w:outlineLvl w:val="5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Heading7">
    <w:name w:val="Heading 7"/>
    <w:basedOn w:val="Normal"/>
    <w:next w:val="TextBody"/>
    <w:uiPriority w:val="9"/>
    <w:unhideWhenUsed/>
    <w:qFormat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Heading8">
    <w:name w:val="Heading 8"/>
    <w:basedOn w:val="Normal"/>
    <w:next w:val="TextBody"/>
    <w:uiPriority w:val="9"/>
    <w:unhideWhenUsed/>
    <w:qFormat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Heading9">
    <w:name w:val="Heading 9"/>
    <w:basedOn w:val="Normal"/>
    <w:next w:val="TextBody"/>
    <w:uiPriority w:val="9"/>
    <w:unhideWhenUsed/>
    <w:qFormat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SectionNumber" w:customStyle="1">
    <w:name w:val="Section Number"/>
    <w:basedOn w:val="BodyTextChar"/>
    <w:qFormat/>
    <w:rPr/>
  </w:style>
  <w:style w:type="character" w:styleId="FootnoteCharacters">
    <w:name w:val="Footnote Characters"/>
    <w:basedOn w:val="BodyTextChar"/>
    <w:qFormat/>
    <w:rPr>
      <w:vertAlign w:val="superscript"/>
    </w:rPr>
  </w:style>
  <w:style w:type="character" w:styleId="FootnoteAnchor">
    <w:name w:val="Footnote Reference"/>
    <w:rPr>
      <w:vertAlign w:val="superscript"/>
    </w:rPr>
  </w:style>
  <w:style w:type="character" w:styleId="InternetLink">
    <w:name w:val="Hyperlink"/>
    <w:basedOn w:val="BodyTextChar"/>
    <w:rPr>
      <w:color w:val="4F81BD" w:themeColor="accent1"/>
    </w:rPr>
  </w:style>
  <w:style w:type="character" w:styleId="KeywordTok" w:customStyle="1">
    <w:name w:val="KeywordTok"/>
    <w:basedOn w:val="VerbatimChar"/>
    <w:qFormat/>
    <w:rPr>
      <w:color w:val="003B4F"/>
      <w:shd w:fill="F1F3F5" w:val="clear"/>
    </w:rPr>
  </w:style>
  <w:style w:type="character" w:styleId="DataTypeTok" w:customStyle="1">
    <w:name w:val="DataTypeTok"/>
    <w:basedOn w:val="VerbatimChar"/>
    <w:qFormat/>
    <w:rPr>
      <w:color w:val="AD0000"/>
      <w:shd w:fill="F1F3F5" w:val="clear"/>
    </w:rPr>
  </w:style>
  <w:style w:type="character" w:styleId="DecValTok" w:customStyle="1">
    <w:name w:val="DecValTok"/>
    <w:basedOn w:val="VerbatimChar"/>
    <w:qFormat/>
    <w:rPr>
      <w:color w:val="AD0000"/>
      <w:shd w:fill="F1F3F5" w:val="clear"/>
    </w:rPr>
  </w:style>
  <w:style w:type="character" w:styleId="BaseNTok" w:customStyle="1">
    <w:name w:val="BaseNTok"/>
    <w:basedOn w:val="VerbatimChar"/>
    <w:qFormat/>
    <w:rPr>
      <w:color w:val="AD0000"/>
      <w:shd w:fill="F1F3F5" w:val="clear"/>
    </w:rPr>
  </w:style>
  <w:style w:type="character" w:styleId="FloatTok" w:customStyle="1">
    <w:name w:val="FloatTok"/>
    <w:basedOn w:val="VerbatimChar"/>
    <w:qFormat/>
    <w:rPr>
      <w:color w:val="AD0000"/>
      <w:shd w:fill="F1F3F5" w:val="clear"/>
    </w:rPr>
  </w:style>
  <w:style w:type="character" w:styleId="ConstantTok" w:customStyle="1">
    <w:name w:val="ConstantTok"/>
    <w:basedOn w:val="VerbatimChar"/>
    <w:qFormat/>
    <w:rPr>
      <w:color w:val="8F5902"/>
      <w:shd w:fill="F1F3F5" w:val="clear"/>
    </w:rPr>
  </w:style>
  <w:style w:type="character" w:styleId="CharTok" w:customStyle="1">
    <w:name w:val="CharTok"/>
    <w:basedOn w:val="VerbatimChar"/>
    <w:qFormat/>
    <w:rPr>
      <w:color w:val="20794D"/>
      <w:shd w:fill="F1F3F5" w:val="clear"/>
    </w:rPr>
  </w:style>
  <w:style w:type="character" w:styleId="SpecialCharTok" w:customStyle="1">
    <w:name w:val="SpecialCharTok"/>
    <w:basedOn w:val="VerbatimChar"/>
    <w:qFormat/>
    <w:rPr>
      <w:color w:val="5E5E5E"/>
      <w:shd w:fill="F1F3F5" w:val="clear"/>
    </w:rPr>
  </w:style>
  <w:style w:type="character" w:styleId="StringTok" w:customStyle="1">
    <w:name w:val="StringTok"/>
    <w:basedOn w:val="VerbatimChar"/>
    <w:qFormat/>
    <w:rPr>
      <w:color w:val="20794D"/>
      <w:shd w:fill="F1F3F5" w:val="clear"/>
    </w:rPr>
  </w:style>
  <w:style w:type="character" w:styleId="VerbatimStringTok" w:customStyle="1">
    <w:name w:val="VerbatimStringTok"/>
    <w:basedOn w:val="VerbatimChar"/>
    <w:qFormat/>
    <w:rPr>
      <w:color w:val="20794D"/>
      <w:shd w:fill="F1F3F5" w:val="clear"/>
    </w:rPr>
  </w:style>
  <w:style w:type="character" w:styleId="SpecialStringTok" w:customStyle="1">
    <w:name w:val="SpecialStringTok"/>
    <w:basedOn w:val="VerbatimChar"/>
    <w:qFormat/>
    <w:rPr>
      <w:color w:val="20794D"/>
      <w:shd w:fill="F1F3F5" w:val="clear"/>
    </w:rPr>
  </w:style>
  <w:style w:type="character" w:styleId="ImportTok" w:customStyle="1">
    <w:name w:val="ImportTok"/>
    <w:basedOn w:val="VerbatimChar"/>
    <w:qFormat/>
    <w:rPr>
      <w:color w:val="00769E"/>
      <w:shd w:fill="F1F3F5" w:val="clear"/>
    </w:rPr>
  </w:style>
  <w:style w:type="character" w:styleId="CommentTok" w:customStyle="1">
    <w:name w:val="CommentTok"/>
    <w:basedOn w:val="VerbatimChar"/>
    <w:qFormat/>
    <w:rPr>
      <w:color w:val="5E5E5E"/>
      <w:shd w:fill="F1F3F5" w:val="clear"/>
    </w:rPr>
  </w:style>
  <w:style w:type="character" w:styleId="DocumentationTok" w:customStyle="1">
    <w:name w:val="DocumentationTok"/>
    <w:basedOn w:val="VerbatimChar"/>
    <w:qFormat/>
    <w:rPr>
      <w:i/>
      <w:color w:val="5E5E5E"/>
      <w:shd w:fill="F1F3F5" w:val="clear"/>
    </w:rPr>
  </w:style>
  <w:style w:type="character" w:styleId="AnnotationTok" w:customStyle="1">
    <w:name w:val="AnnotationTok"/>
    <w:basedOn w:val="VerbatimChar"/>
    <w:qFormat/>
    <w:rPr>
      <w:color w:val="5E5E5E"/>
      <w:shd w:fill="F1F3F5" w:val="clear"/>
    </w:rPr>
  </w:style>
  <w:style w:type="character" w:styleId="CommentVarTok" w:customStyle="1">
    <w:name w:val="CommentVarTok"/>
    <w:basedOn w:val="VerbatimChar"/>
    <w:qFormat/>
    <w:rPr>
      <w:i/>
      <w:color w:val="5E5E5E"/>
      <w:shd w:fill="F1F3F5" w:val="clear"/>
    </w:rPr>
  </w:style>
  <w:style w:type="character" w:styleId="OtherTok" w:customStyle="1">
    <w:name w:val="OtherTok"/>
    <w:basedOn w:val="VerbatimChar"/>
    <w:qFormat/>
    <w:rPr>
      <w:color w:val="003B4F"/>
      <w:shd w:fill="F1F3F5" w:val="clear"/>
    </w:rPr>
  </w:style>
  <w:style w:type="character" w:styleId="FunctionTok" w:customStyle="1">
    <w:name w:val="FunctionTok"/>
    <w:basedOn w:val="VerbatimChar"/>
    <w:qFormat/>
    <w:rPr>
      <w:color w:val="4758AB"/>
      <w:shd w:fill="F1F3F5" w:val="clear"/>
    </w:rPr>
  </w:style>
  <w:style w:type="character" w:styleId="VariableTok" w:customStyle="1">
    <w:name w:val="VariableTok"/>
    <w:basedOn w:val="VerbatimChar"/>
    <w:qFormat/>
    <w:rPr>
      <w:color w:val="111111"/>
      <w:shd w:fill="F1F3F5" w:val="clear"/>
    </w:rPr>
  </w:style>
  <w:style w:type="character" w:styleId="ControlFlowTok" w:customStyle="1">
    <w:name w:val="ControlFlowTok"/>
    <w:basedOn w:val="VerbatimChar"/>
    <w:qFormat/>
    <w:rPr>
      <w:color w:val="003B4F"/>
      <w:shd w:fill="F1F3F5" w:val="clear"/>
    </w:rPr>
  </w:style>
  <w:style w:type="character" w:styleId="OperatorTok" w:customStyle="1">
    <w:name w:val="OperatorTok"/>
    <w:basedOn w:val="VerbatimChar"/>
    <w:qFormat/>
    <w:rPr>
      <w:color w:val="5E5E5E"/>
      <w:shd w:fill="F1F3F5" w:val="clear"/>
    </w:rPr>
  </w:style>
  <w:style w:type="character" w:styleId="BuiltInTok" w:customStyle="1">
    <w:name w:val="BuiltInTok"/>
    <w:basedOn w:val="VerbatimChar"/>
    <w:qFormat/>
    <w:rPr>
      <w:color w:val="003B4F"/>
      <w:shd w:fill="F1F3F5" w:val="clear"/>
    </w:rPr>
  </w:style>
  <w:style w:type="character" w:styleId="ExtensionTok" w:customStyle="1">
    <w:name w:val="ExtensionTok"/>
    <w:basedOn w:val="VerbatimChar"/>
    <w:qFormat/>
    <w:rPr>
      <w:color w:val="003B4F"/>
      <w:shd w:fill="F1F3F5" w:val="clear"/>
    </w:rPr>
  </w:style>
  <w:style w:type="character" w:styleId="PreprocessorTok" w:customStyle="1">
    <w:name w:val="PreprocessorTok"/>
    <w:basedOn w:val="VerbatimChar"/>
    <w:qFormat/>
    <w:rPr>
      <w:color w:val="AD0000"/>
      <w:shd w:fill="F1F3F5" w:val="clear"/>
    </w:rPr>
  </w:style>
  <w:style w:type="character" w:styleId="AttributeTok" w:customStyle="1">
    <w:name w:val="AttributeTok"/>
    <w:basedOn w:val="VerbatimChar"/>
    <w:qFormat/>
    <w:rPr>
      <w:color w:val="657422"/>
      <w:shd w:fill="F1F3F5" w:val="clear"/>
    </w:rPr>
  </w:style>
  <w:style w:type="character" w:styleId="RegionMarkerTok" w:customStyle="1">
    <w:name w:val="RegionMarkerTok"/>
    <w:basedOn w:val="VerbatimChar"/>
    <w:qFormat/>
    <w:rPr>
      <w:color w:val="003B4F"/>
      <w:shd w:fill="F1F3F5" w:val="clear"/>
    </w:rPr>
  </w:style>
  <w:style w:type="character" w:styleId="InformationTok" w:customStyle="1">
    <w:name w:val="InformationTok"/>
    <w:basedOn w:val="VerbatimChar"/>
    <w:qFormat/>
    <w:rPr>
      <w:color w:val="5E5E5E"/>
      <w:shd w:fill="F1F3F5" w:val="clear"/>
    </w:rPr>
  </w:style>
  <w:style w:type="character" w:styleId="WarningTok" w:customStyle="1">
    <w:name w:val="WarningTok"/>
    <w:basedOn w:val="VerbatimChar"/>
    <w:qFormat/>
    <w:rPr>
      <w:i/>
      <w:color w:val="5E5E5E"/>
      <w:shd w:fill="F1F3F5" w:val="clear"/>
    </w:rPr>
  </w:style>
  <w:style w:type="character" w:styleId="AlertTok" w:customStyle="1">
    <w:name w:val="AlertTok"/>
    <w:basedOn w:val="VerbatimChar"/>
    <w:qFormat/>
    <w:rPr>
      <w:color w:val="AD0000"/>
      <w:shd w:fill="F1F3F5" w:val="clear"/>
    </w:rPr>
  </w:style>
  <w:style w:type="character" w:styleId="ErrorTok" w:customStyle="1">
    <w:name w:val="ErrorTok"/>
    <w:basedOn w:val="VerbatimChar"/>
    <w:qFormat/>
    <w:rPr>
      <w:color w:val="AD0000"/>
      <w:shd w:fill="F1F3F5" w:val="clear"/>
    </w:rPr>
  </w:style>
  <w:style w:type="character" w:styleId="NormalTok" w:customStyle="1">
    <w:name w:val="NormalTok"/>
    <w:basedOn w:val="VerbatimChar"/>
    <w:qFormat/>
    <w:rPr>
      <w:color w:val="003B4F"/>
      <w:shd w:fill="F1F3F5" w:val="clear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Times New Roman" w:hAnsi="Times New Roman" w:eastAsia="Noto Sans CJK SC" w:cs="Noto Sans Devanagari"/>
      <w:sz w:val="28"/>
      <w:szCs w:val="28"/>
    </w:rPr>
  </w:style>
  <w:style w:type="paragraph" w:styleId="TextBody">
    <w:name w:val="Body Text"/>
    <w:basedOn w:val="Normal"/>
    <w:link w:val="BodyTextChar"/>
    <w:qFormat/>
    <w:pPr>
      <w:spacing w:before="180" w:after="180"/>
    </w:pPr>
    <w:rPr/>
  </w:style>
  <w:style w:type="paragraph" w:styleId="List">
    <w:name w:val="List"/>
    <w:basedOn w:val="TextBody"/>
    <w:pPr/>
    <w:rPr>
      <w:rFonts w:ascii="Times New Roman" w:hAnsi="Times New Roman" w:eastAsia="等线" w:cs="Noto Sans Devanagari"/>
    </w:rPr>
  </w:style>
  <w:style w:type="paragraph" w:styleId="Caption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Index">
    <w:name w:val="Index"/>
    <w:basedOn w:val="Normal"/>
    <w:qFormat/>
    <w:pPr>
      <w:suppressLineNumbers/>
    </w:pPr>
    <w:rPr>
      <w:rFonts w:ascii="Times New Roman" w:hAnsi="Times New Roman" w:eastAsia="等线" w:cs="Noto Sans Devanagari"/>
    </w:rPr>
  </w:style>
  <w:style w:type="paragraph" w:styleId="FirstParagraph" w:customStyle="1">
    <w:name w:val="First Paragraph"/>
    <w:basedOn w:val="TextBody"/>
    <w:next w:val="TextBody"/>
    <w:qFormat/>
    <w:pPr/>
    <w:rPr/>
  </w:style>
  <w:style w:type="paragraph" w:styleId="Compact" w:customStyle="1">
    <w:name w:val="Compact"/>
    <w:basedOn w:val="TextBody"/>
    <w:qFormat/>
    <w:pPr>
      <w:spacing w:before="36" w:after="36"/>
    </w:pPr>
    <w:rPr/>
  </w:style>
  <w:style w:type="paragraph" w:styleId="Title">
    <w:name w:val="Title"/>
    <w:basedOn w:val="Normal"/>
    <w:next w:val="TextBody"/>
    <w:qFormat/>
    <w:pPr>
      <w:keepNext w:val="true"/>
      <w:keepLines/>
      <w:spacing w:before="480" w:after="240"/>
      <w:jc w:val="center"/>
    </w:pPr>
    <w:rPr>
      <w:rFonts w:ascii="Calibri" w:hAnsi="Calibri" w:eastAsia="" w:cs="" w:asciiTheme="majorHAnsi" w:cstheme="majorBidi" w:eastAsiaTheme="majorEastAsia" w:hAnsiTheme="majorHAns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TextBody"/>
    <w:qFormat/>
    <w:pPr>
      <w:keepNext w:val="true"/>
      <w:keepLines/>
      <w:spacing w:before="240" w:after="240"/>
      <w:jc w:val="center"/>
    </w:pPr>
    <w:rPr>
      <w:sz w:val="30"/>
      <w:szCs w:val="30"/>
    </w:rPr>
  </w:style>
  <w:style w:type="paragraph" w:styleId="Author" w:customStyle="1">
    <w:name w:val="Author"/>
    <w:next w:val="TextBody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Date">
    <w:name w:val="Date"/>
    <w:next w:val="TextBody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Abstract" w:customStyle="1">
    <w:name w:val="Abstract"/>
    <w:basedOn w:val="Normal"/>
    <w:next w:val="TextBody"/>
    <w:qFormat/>
    <w:pPr>
      <w:keepNext w:val="true"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TextBody"/>
    <w:next w:val="TextBody"/>
    <w:uiPriority w:val="9"/>
    <w:unhideWhenUsed/>
    <w:qFormat/>
    <w:pPr>
      <w:spacing w:before="100" w:after="100"/>
      <w:ind w:left="480" w:right="480" w:hanging="0"/>
    </w:pPr>
    <w:rPr/>
  </w:style>
  <w:style w:type="paragraph" w:styleId="Footnote">
    <w:name w:val="Footnote Text"/>
    <w:basedOn w:val="Normal"/>
    <w:uiPriority w:val="9"/>
    <w:unhideWhenUsed/>
    <w:qFormat/>
    <w:pPr/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pPr/>
    <w:rPr/>
  </w:style>
  <w:style w:type="paragraph" w:styleId="Figure" w:customStyle="1">
    <w:name w:val="Figure"/>
    <w:basedOn w:val="Normal"/>
    <w:qFormat/>
    <w:pPr/>
    <w:rPr/>
  </w:style>
  <w:style w:type="paragraph" w:styleId="CaptionedFigure" w:customStyle="1">
    <w:name w:val="Captioned Figure"/>
    <w:basedOn w:val="Figure"/>
    <w:qFormat/>
    <w:pPr>
      <w:keepNext w:val="true"/>
    </w:pPr>
    <w:rPr/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TextBody"/>
    <w:uiPriority w:val="39"/>
    <w:unhideWhenUsed/>
    <w:qFormat/>
    <w:pPr>
      <w:spacing w:lineRule="auto" w:line="259" w:before="240" w:after="0"/>
      <w:outlineLvl w:val="9"/>
    </w:pPr>
    <w:rPr>
      <w:rFonts w:ascii="Calibri" w:hAnsi="Calibri" w:eastAsia="" w:cs="" w:asciiTheme="majorHAnsi" w:cstheme="majorBidi" w:eastAsiaTheme="majorEastAsia" w:hAnsiTheme="majorHAnsi"/>
      <w:b w:val="false"/>
      <w:bCs w:val="false"/>
      <w:color w:val="365F91" w:themeColor="accent1" w:themeShade="bf"/>
    </w:rPr>
  </w:style>
  <w:style w:type="paragraph" w:styleId="SourceCode" w:customStyle="1">
    <w:name w:val="Source Code"/>
    <w:basedOn w:val="Normal"/>
    <w:link w:val="VerbatimChar"/>
    <w:qFormat/>
    <w:pPr>
      <w:shd w:val="clear" w:fill="F1F3F5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table" w:default="1" w:styleId="Table">
    <w:name w:val="Table"/>
    <w:basedOn w:val="TableNormal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/>
        </w:tcBorders>
        <w:vAlign w:val="bottom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1.png"/><Relationship Id="rId6" Type="http://schemas.openxmlformats.org/officeDocument/2006/relationships/image" Target="media/image1.png"/><Relationship Id="rId7" Type="http://schemas.openxmlformats.org/officeDocument/2006/relationships/hyperlink" Target="https://eoss.asu.edu/mu" TargetMode="External"/><Relationship Id="rId8" Type="http://schemas.openxmlformats.org/officeDocument/2006/relationships/image" Target="media/image3.png"/><Relationship Id="rId9" Type="http://schemas.openxmlformats.org/officeDocument/2006/relationships/hyperlink" Target="https://eoss.asu.edu/sites/default/files/MU-buildingMap.pdf" TargetMode="External"/><Relationship Id="rId10" Type="http://schemas.openxmlformats.org/officeDocument/2006/relationships/hyperlink" Target="https://www.marriott.com/hotels/travel/phxwt-the-westin-tempe/" TargetMode="External"/><Relationship Id="rId11" Type="http://schemas.openxmlformats.org/officeDocument/2006/relationships/image" Target="media/image4.png"/><Relationship Id="rId12" Type="http://schemas.openxmlformats.org/officeDocument/2006/relationships/image" Target="media/image1.png"/><Relationship Id="rId13" Type="http://schemas.openxmlformats.org/officeDocument/2006/relationships/image" Target="media/image1.png"/><Relationship Id="rId14" Type="http://schemas.openxmlformats.org/officeDocument/2006/relationships/image" Target="media/image1.png"/><Relationship Id="rId15" Type="http://schemas.openxmlformats.org/officeDocument/2006/relationships/image" Target="media/image1.png"/><Relationship Id="rId16" Type="http://schemas.openxmlformats.org/officeDocument/2006/relationships/image" Target="media/image1.png"/><Relationship Id="rId17" Type="http://schemas.openxmlformats.org/officeDocument/2006/relationships/hyperlink" Target="https://www.openconf.com/" TargetMode="External"/><Relationship Id="rId18" Type="http://schemas.openxmlformats.org/officeDocument/2006/relationships/image" Target="media/image1.png"/><Relationship Id="rId19" Type="http://schemas.openxmlformats.org/officeDocument/2006/relationships/numbering" Target="numbering.xml"/><Relationship Id="rId20" Type="http://schemas.openxmlformats.org/officeDocument/2006/relationships/fontTable" Target="fontTable.xml"/><Relationship Id="rId21" Type="http://schemas.openxmlformats.org/officeDocument/2006/relationships/settings" Target="settings.xml"/><Relationship Id="rId2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Application>LibreOffice/7.5.0.3$Linux_X86_64 LibreOffice_project/c21113d003cd3efa8c53188764377a8272d9d6de</Application>
  <AppVersion>15.0000</AppVersion>
  <Pages>10</Pages>
  <Words>989</Words>
  <Characters>4789</Characters>
  <CharactersWithSpaces>5469</CharactersWithSpaces>
  <Paragraphs>236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2023-02-10T20:11:56Z</dcterms:created>
  <dc:creator/>
  <dc:description/>
  <dc:language>en-US</dc:language>
  <cp:lastModifiedBy>Julian Tao</cp:lastModifiedBy>
  <dcterms:modified xsi:type="dcterms:W3CDTF">2023-02-10T13:17:04Z</dcterms:modified>
  <cp:revision>1</cp:revision>
  <dc:subject/>
  <dc:title>Planning I-CBBG 2025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ook">
    <vt:lpwstr/>
  </property>
  <property fmtid="{D5CDD505-2E9C-101B-9397-08002B2CF9AE}" pid="4" name="crossref">
    <vt:lpwstr/>
  </property>
  <property fmtid="{D5CDD505-2E9C-101B-9397-08002B2CF9AE}" pid="5" name="date">
    <vt:lpwstr>1/27/23</vt:lpwstr>
  </property>
  <property fmtid="{D5CDD505-2E9C-101B-9397-08002B2CF9AE}" pid="6" name="header-includes">
    <vt:lpwstr/>
  </property>
  <property fmtid="{D5CDD505-2E9C-101B-9397-08002B2CF9AE}" pid="7" name="include-after">
    <vt:lpwstr/>
  </property>
  <property fmtid="{D5CDD505-2E9C-101B-9397-08002B2CF9AE}" pid="8" name="include-before">
    <vt:lpwstr/>
  </property>
  <property fmtid="{D5CDD505-2E9C-101B-9397-08002B2CF9AE}" pid="9" name="labels">
    <vt:lpwstr/>
  </property>
  <property fmtid="{D5CDD505-2E9C-101B-9397-08002B2CF9AE}" pid="10" name="toc-title">
    <vt:lpwstr>Table of contents</vt:lpwstr>
  </property>
</Properties>
</file>